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14980" w14:textId="61821DF5" w:rsidR="00A729F5" w:rsidRPr="00DA12F7" w:rsidRDefault="00A729F5" w:rsidP="00A729F5">
      <w:pPr>
        <w:tabs>
          <w:tab w:val="right" w:pos="9630"/>
        </w:tabs>
        <w:spacing w:after="0"/>
      </w:pPr>
      <w:r w:rsidRPr="00DA12F7">
        <w:rPr>
          <w:rFonts w:ascii="Arial" w:hAnsi="Arial" w:cs="Arial"/>
          <w:b/>
          <w:sz w:val="24"/>
        </w:rPr>
        <w:t xml:space="preserve">3GPP TSG RAN WG1 </w:t>
      </w:r>
      <w:r w:rsidR="00FE650C">
        <w:rPr>
          <w:rFonts w:ascii="Arial" w:hAnsi="Arial" w:cs="Arial"/>
          <w:b/>
          <w:sz w:val="24"/>
        </w:rPr>
        <w:t>Meeting AH 1801</w:t>
      </w:r>
      <w:r w:rsidRPr="00DA12F7">
        <w:rPr>
          <w:rFonts w:ascii="Arial" w:hAnsi="Arial" w:cs="Arial"/>
          <w:b/>
          <w:sz w:val="24"/>
        </w:rPr>
        <w:tab/>
        <w:t>R1-</w:t>
      </w:r>
      <w:r w:rsidR="00D5296D" w:rsidRPr="00D5296D">
        <w:rPr>
          <w:rFonts w:ascii="Arial" w:hAnsi="Arial" w:cs="Arial"/>
          <w:b/>
          <w:sz w:val="24"/>
        </w:rPr>
        <w:t>1800879</w:t>
      </w:r>
    </w:p>
    <w:p w14:paraId="0C2D9163" w14:textId="46CD7823" w:rsidR="00A729F5" w:rsidRPr="00DA12F7" w:rsidRDefault="00FE650C" w:rsidP="00A729F5">
      <w:pPr>
        <w:tabs>
          <w:tab w:val="right" w:pos="9630"/>
        </w:tabs>
        <w:spacing w:after="0"/>
        <w:rPr>
          <w:rFonts w:ascii="Arial" w:hAnsi="Arial" w:cs="Arial"/>
          <w:b/>
          <w:sz w:val="24"/>
          <w:szCs w:val="24"/>
        </w:rPr>
      </w:pPr>
      <w:r w:rsidRPr="00FE650C">
        <w:rPr>
          <w:rFonts w:ascii="Arial" w:hAnsi="Arial" w:cs="Arial"/>
          <w:b/>
          <w:sz w:val="24"/>
          <w:szCs w:val="24"/>
        </w:rPr>
        <w:t>Vancouver, Canada, January 22nd – 26th, 2018</w:t>
      </w:r>
    </w:p>
    <w:p w14:paraId="43B7F87B" w14:textId="77777777" w:rsidR="0068226B" w:rsidRPr="000A64D8" w:rsidRDefault="0068226B" w:rsidP="00480B03">
      <w:pPr>
        <w:pStyle w:val="Footer"/>
        <w:jc w:val="both"/>
        <w:rPr>
          <w:noProof w:val="0"/>
        </w:rPr>
      </w:pPr>
    </w:p>
    <w:p w14:paraId="43B7F87C" w14:textId="17661E2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F00B6">
        <w:rPr>
          <w:rFonts w:ascii="Arial" w:hAnsi="Arial"/>
          <w:sz w:val="24"/>
        </w:rPr>
        <w:t>7</w:t>
      </w:r>
      <w:r w:rsidR="00955C57">
        <w:rPr>
          <w:rFonts w:ascii="Arial" w:hAnsi="Arial"/>
          <w:sz w:val="24"/>
        </w:rPr>
        <w:t>.3.</w:t>
      </w:r>
      <w:r w:rsidR="008708B4">
        <w:rPr>
          <w:rFonts w:ascii="Arial" w:hAnsi="Arial"/>
          <w:sz w:val="24"/>
        </w:rPr>
        <w:t>4</w:t>
      </w:r>
      <w:r w:rsidR="00FF00B6">
        <w:rPr>
          <w:rFonts w:ascii="Arial" w:hAnsi="Arial"/>
          <w:sz w:val="24"/>
        </w:rPr>
        <w:t>.</w:t>
      </w:r>
      <w:r w:rsidR="00FC6C9B">
        <w:rPr>
          <w:rFonts w:ascii="Arial" w:hAnsi="Arial"/>
          <w:sz w:val="24"/>
        </w:rPr>
        <w:t>1</w:t>
      </w:r>
    </w:p>
    <w:p w14:paraId="43B7F87D" w14:textId="7D1B9A3C"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E0D98E8"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E650C">
        <w:rPr>
          <w:rFonts w:ascii="Arial" w:hAnsi="Arial"/>
          <w:sz w:val="22"/>
        </w:rPr>
        <w:t>Remaining</w:t>
      </w:r>
      <w:r w:rsidR="00FF00B6">
        <w:rPr>
          <w:rFonts w:ascii="Arial" w:hAnsi="Arial"/>
          <w:sz w:val="22"/>
        </w:rPr>
        <w:t xml:space="preserve"> </w:t>
      </w:r>
      <w:r w:rsidR="00EE20B3">
        <w:rPr>
          <w:rFonts w:ascii="Arial" w:hAnsi="Arial"/>
          <w:sz w:val="22"/>
        </w:rPr>
        <w:t>Issue</w:t>
      </w:r>
      <w:r w:rsidR="00901BDF">
        <w:rPr>
          <w:rFonts w:ascii="Arial" w:hAnsi="Arial"/>
          <w:sz w:val="22"/>
        </w:rPr>
        <w:t>s</w:t>
      </w:r>
      <w:r w:rsidR="00FF00B6">
        <w:rPr>
          <w:rFonts w:ascii="Arial" w:hAnsi="Arial"/>
          <w:sz w:val="22"/>
        </w:rPr>
        <w:t xml:space="preserve"> on </w:t>
      </w:r>
      <w:r w:rsidR="005F76BE">
        <w:rPr>
          <w:rFonts w:ascii="Arial" w:hAnsi="Arial"/>
          <w:sz w:val="24"/>
          <w:szCs w:val="24"/>
        </w:rPr>
        <w:t>BWP</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5F9B6AB3" w14:textId="139D6E1F" w:rsidR="00E4038C" w:rsidRDefault="007429CA" w:rsidP="00E4038C">
      <w:pPr>
        <w:pStyle w:val="Heading1"/>
        <w:textAlignment w:val="auto"/>
      </w:pPr>
      <w:r>
        <w:t>Background</w:t>
      </w:r>
    </w:p>
    <w:p w14:paraId="7B7D4EBF" w14:textId="10A14945" w:rsidR="007429CA" w:rsidRDefault="007429CA" w:rsidP="007429CA">
      <w:pPr>
        <w:jc w:val="both"/>
        <w:rPr>
          <w:szCs w:val="22"/>
        </w:rPr>
      </w:pPr>
      <w:r>
        <w:rPr>
          <w:szCs w:val="22"/>
        </w:rPr>
        <w:t>In RAN1 #86bis meeting, bandwidth adaptation facilitating DL control information monitoring over a narrower bandwidth was agreed. The motivation was primarily driven by UE power saving.</w:t>
      </w:r>
      <w:r w:rsidRPr="00BC3BB2">
        <w:rPr>
          <w:szCs w:val="22"/>
        </w:rPr>
        <w:t xml:space="preserve"> </w:t>
      </w:r>
      <w:r>
        <w:rPr>
          <w:szCs w:val="22"/>
        </w:rPr>
        <w:t>In the same meeting, support for cross-slot scheduling for DL was also agreed.</w:t>
      </w:r>
      <w:r w:rsidR="007C15C1">
        <w:rPr>
          <w:szCs w:val="22"/>
        </w:rPr>
        <w:t xml:space="preserve"> </w:t>
      </w:r>
    </w:p>
    <w:p w14:paraId="79C31F29" w14:textId="16955611" w:rsidR="007429CA" w:rsidRPr="009F14F1" w:rsidRDefault="007429CA" w:rsidP="009F14F1">
      <w:pPr>
        <w:jc w:val="both"/>
        <w:rPr>
          <w:szCs w:val="22"/>
        </w:rPr>
      </w:pPr>
      <w:r>
        <w:rPr>
          <w:szCs w:val="22"/>
        </w:rPr>
        <w:t>The term “bandwidth-part” (BWP) was introduced to refer to the portion of the bandwidth within which the UE operates.</w:t>
      </w:r>
    </w:p>
    <w:p w14:paraId="41570371" w14:textId="029144D3" w:rsidR="007429CA" w:rsidRDefault="00142FBC" w:rsidP="00E4038C">
      <w:pPr>
        <w:spacing w:after="120"/>
      </w:pPr>
      <w:r>
        <w:t xml:space="preserve">In this contribution, </w:t>
      </w:r>
      <w:r w:rsidR="0038040A">
        <w:t xml:space="preserve">we will </w:t>
      </w:r>
      <w:r w:rsidR="00D00096">
        <w:t xml:space="preserve">discuss </w:t>
      </w:r>
      <w:r>
        <w:t xml:space="preserve">some of the </w:t>
      </w:r>
      <w:r w:rsidR="00D00096">
        <w:t xml:space="preserve">remaining </w:t>
      </w:r>
      <w:r>
        <w:t>issues on BWP.</w:t>
      </w:r>
      <w:r w:rsidR="002F1D03">
        <w:t xml:space="preserve"> </w:t>
      </w:r>
      <w:r w:rsidR="00E755F4">
        <w:t xml:space="preserve">This is </w:t>
      </w:r>
      <w:r w:rsidR="00C452C2">
        <w:t>based on</w:t>
      </w:r>
      <w:r w:rsidR="00E755F4">
        <w:t xml:space="preserve"> a resubmission of </w:t>
      </w:r>
      <w:r w:rsidR="002F1D03">
        <w:t xml:space="preserve"> </w:t>
      </w:r>
      <w:r w:rsidR="00E755F4">
        <w:t>R1-1720693</w:t>
      </w:r>
      <w:r w:rsidR="003C6CD8">
        <w:t xml:space="preserve"> </w:t>
      </w:r>
      <w:r w:rsidR="00C452C2">
        <w:t xml:space="preserve">for </w:t>
      </w:r>
      <w:r w:rsidR="003C6CD8">
        <w:t>RAN1 #91</w:t>
      </w:r>
      <w:r w:rsidR="00C452C2">
        <w:t>.</w:t>
      </w:r>
      <w:r w:rsidR="00E755F4">
        <w:t xml:space="preserve"> </w:t>
      </w:r>
      <w:r w:rsidR="00A244F6">
        <w:t xml:space="preserve">Section </w:t>
      </w:r>
      <w:r w:rsidR="00870161">
        <w:fldChar w:fldCharType="begin"/>
      </w:r>
      <w:r w:rsidR="00870161">
        <w:instrText xml:space="preserve"> REF _Ref503286478 \r \h </w:instrText>
      </w:r>
      <w:r w:rsidR="00870161">
        <w:fldChar w:fldCharType="separate"/>
      </w:r>
      <w:r w:rsidR="00685646">
        <w:t>2.1.4</w:t>
      </w:r>
      <w:r w:rsidR="00870161">
        <w:fldChar w:fldCharType="end"/>
      </w:r>
      <w:r w:rsidR="00A244F6">
        <w:t xml:space="preserve"> has been revised, and </w:t>
      </w:r>
      <w:r w:rsidR="003C6CD8">
        <w:t>Section</w:t>
      </w:r>
      <w:r w:rsidR="00870161">
        <w:t xml:space="preserve"> </w:t>
      </w:r>
      <w:r w:rsidR="00870161">
        <w:fldChar w:fldCharType="begin"/>
      </w:r>
      <w:r w:rsidR="00870161">
        <w:instrText xml:space="preserve"> REF _Ref503288531 \r \h </w:instrText>
      </w:r>
      <w:r w:rsidR="00870161">
        <w:fldChar w:fldCharType="separate"/>
      </w:r>
      <w:r w:rsidR="00685646">
        <w:t>2.1.2</w:t>
      </w:r>
      <w:r w:rsidR="00870161">
        <w:fldChar w:fldCharType="end"/>
      </w:r>
      <w:r w:rsidR="001224F5">
        <w:t>,</w:t>
      </w:r>
      <w:r w:rsidR="003365CE">
        <w:t xml:space="preserve"> </w:t>
      </w:r>
      <w:r w:rsidR="003365CE">
        <w:fldChar w:fldCharType="begin"/>
      </w:r>
      <w:r w:rsidR="003365CE">
        <w:instrText xml:space="preserve"> REF _Ref503489945 \r \h </w:instrText>
      </w:r>
      <w:r w:rsidR="003365CE">
        <w:fldChar w:fldCharType="separate"/>
      </w:r>
      <w:r w:rsidR="00685646">
        <w:t>2.1.3</w:t>
      </w:r>
      <w:r w:rsidR="003365CE">
        <w:fldChar w:fldCharType="end"/>
      </w:r>
      <w:r w:rsidR="003365CE">
        <w:t>,</w:t>
      </w:r>
      <w:r w:rsidR="003C6CD8">
        <w:t xml:space="preserve"> </w:t>
      </w:r>
      <w:r w:rsidR="003C6CD8">
        <w:fldChar w:fldCharType="begin"/>
      </w:r>
      <w:r w:rsidR="003C6CD8">
        <w:instrText xml:space="preserve"> REF _Ref503259614 \r \h </w:instrText>
      </w:r>
      <w:r w:rsidR="003C6CD8">
        <w:fldChar w:fldCharType="separate"/>
      </w:r>
      <w:r w:rsidR="00685646">
        <w:t>2.1.6</w:t>
      </w:r>
      <w:r w:rsidR="003C6CD8">
        <w:fldChar w:fldCharType="end"/>
      </w:r>
      <w:r w:rsidR="001224F5">
        <w:t xml:space="preserve">, and </w:t>
      </w:r>
      <w:r w:rsidR="001224F5">
        <w:fldChar w:fldCharType="begin"/>
      </w:r>
      <w:r w:rsidR="001224F5">
        <w:instrText xml:space="preserve"> REF _Ref503311242 \r \h </w:instrText>
      </w:r>
      <w:r w:rsidR="001224F5">
        <w:fldChar w:fldCharType="separate"/>
      </w:r>
      <w:r w:rsidR="00685646">
        <w:t>2.1.7</w:t>
      </w:r>
      <w:r w:rsidR="001224F5">
        <w:fldChar w:fldCharType="end"/>
      </w:r>
      <w:r w:rsidR="003C6CD8">
        <w:t xml:space="preserve"> </w:t>
      </w:r>
      <w:r w:rsidR="001224F5">
        <w:t>are</w:t>
      </w:r>
      <w:r w:rsidR="003C6CD8">
        <w:t xml:space="preserve"> new</w:t>
      </w:r>
      <w:r w:rsidR="00C452C2">
        <w:t xml:space="preserve"> material</w:t>
      </w:r>
      <w:r w:rsidR="003365CE">
        <w:t>; Other sections could be lightly revised.</w:t>
      </w:r>
    </w:p>
    <w:p w14:paraId="76A886CE" w14:textId="422CAAEC" w:rsidR="00B14994" w:rsidRPr="00FE650C" w:rsidRDefault="00D021B4" w:rsidP="00B14994">
      <w:pPr>
        <w:pStyle w:val="Heading1"/>
      </w:pPr>
      <w:r>
        <w:t>Discussion</w:t>
      </w:r>
    </w:p>
    <w:p w14:paraId="7308C4BF" w14:textId="545D6DE0" w:rsidR="00681F4E" w:rsidRPr="00A139E2" w:rsidRDefault="00B14994" w:rsidP="00FA27B9">
      <w:pPr>
        <w:pStyle w:val="Heading2"/>
      </w:pPr>
      <w:r>
        <w:t xml:space="preserve">Remaining </w:t>
      </w:r>
      <w:r w:rsidR="00EE20B3">
        <w:t>Issues</w:t>
      </w:r>
      <w:r w:rsidR="00D021B4">
        <w:t xml:space="preserve"> on BWP</w:t>
      </w:r>
    </w:p>
    <w:p w14:paraId="48664CAD" w14:textId="60E9755C" w:rsidR="005C6502" w:rsidRDefault="005C6502" w:rsidP="002B15CF">
      <w:pPr>
        <w:pStyle w:val="Heading3"/>
      </w:pPr>
      <w:r>
        <w:t>CSI Measurement and SRS</w:t>
      </w:r>
    </w:p>
    <w:p w14:paraId="77482349" w14:textId="0F885B6C" w:rsidR="005C6502" w:rsidRDefault="005C6502" w:rsidP="005C6502">
      <w:pPr>
        <w:rPr>
          <w:lang w:val="en-GB"/>
        </w:rPr>
      </w:pPr>
      <w:r>
        <w:rPr>
          <w:lang w:val="en-GB"/>
        </w:rPr>
        <w:t>In RAN1 #</w:t>
      </w:r>
      <w:r w:rsidR="008B252A">
        <w:rPr>
          <w:lang w:val="en-GB"/>
        </w:rPr>
        <w:t>91</w:t>
      </w:r>
      <w:r>
        <w:rPr>
          <w:lang w:val="en-GB"/>
        </w:rPr>
        <w:t>, the follow agreement as made</w:t>
      </w:r>
      <w:r w:rsidR="00D13957">
        <w:rPr>
          <w:lang w:val="en-GB"/>
        </w:rPr>
        <w:t xml:space="preserve"> </w:t>
      </w:r>
      <w:r w:rsidR="00D13957">
        <w:rPr>
          <w:lang w:val="en-GB"/>
        </w:rPr>
        <w:fldChar w:fldCharType="begin"/>
      </w:r>
      <w:r w:rsidR="00D13957">
        <w:rPr>
          <w:lang w:val="en-GB"/>
        </w:rPr>
        <w:instrText xml:space="preserve"> REF _Ref503268227 \r \h </w:instrText>
      </w:r>
      <w:r w:rsidR="00D13957">
        <w:rPr>
          <w:lang w:val="en-GB"/>
        </w:rPr>
      </w:r>
      <w:r w:rsidR="00D13957">
        <w:rPr>
          <w:lang w:val="en-GB"/>
        </w:rPr>
        <w:fldChar w:fldCharType="separate"/>
      </w:r>
      <w:r w:rsidR="00685646">
        <w:rPr>
          <w:lang w:val="en-GB"/>
        </w:rPr>
        <w:t>[4]</w:t>
      </w:r>
      <w:r w:rsidR="00D13957">
        <w:rPr>
          <w:lang w:val="en-GB"/>
        </w:rPr>
        <w:fldChar w:fldCharType="end"/>
      </w:r>
      <w:r>
        <w:rPr>
          <w:lang w:val="en-GB"/>
        </w:rPr>
        <w:t>:</w:t>
      </w:r>
    </w:p>
    <w:p w14:paraId="5BEFE249" w14:textId="0CD1DB11" w:rsidR="005C6502" w:rsidRDefault="008B252A" w:rsidP="008B252A">
      <w:pPr>
        <w:numPr>
          <w:ilvl w:val="0"/>
          <w:numId w:val="6"/>
        </w:numPr>
        <w:overflowPunct/>
        <w:autoSpaceDE/>
        <w:autoSpaceDN/>
        <w:adjustRightInd/>
        <w:spacing w:after="0"/>
        <w:textAlignment w:val="auto"/>
        <w:rPr>
          <w:lang w:eastAsia="zh-TW"/>
        </w:rPr>
      </w:pPr>
      <w:r>
        <w:rPr>
          <w:lang w:eastAsia="zh-TW"/>
        </w:rPr>
        <w:t>A UE is expected to perform CSI measurement only within its active DL BWP at the time when the measurement occurs</w:t>
      </w:r>
    </w:p>
    <w:p w14:paraId="69CDD3E5" w14:textId="77777777" w:rsidR="008B252A" w:rsidRPr="008B252A" w:rsidRDefault="008B252A" w:rsidP="008B252A">
      <w:pPr>
        <w:overflowPunct/>
        <w:autoSpaceDE/>
        <w:autoSpaceDN/>
        <w:adjustRightInd/>
        <w:spacing w:after="0"/>
        <w:textAlignment w:val="auto"/>
        <w:rPr>
          <w:lang w:eastAsia="zh-TW"/>
        </w:rPr>
      </w:pPr>
    </w:p>
    <w:p w14:paraId="6AA338E9" w14:textId="0651ACBD" w:rsidR="00835A6E" w:rsidRDefault="00AC404F" w:rsidP="005C6502">
      <w:pPr>
        <w:rPr>
          <w:lang w:val="en-GB"/>
        </w:rPr>
      </w:pPr>
      <w:r>
        <w:rPr>
          <w:lang w:val="en-GB"/>
        </w:rPr>
        <w:t>Consideration for SRS should be consistent with CSI measurement, because SRS achieves similar functionality but exploits channel reciprocity for TDD. The following rules are consistent with CSI measurement:</w:t>
      </w:r>
    </w:p>
    <w:p w14:paraId="2CD899E3" w14:textId="1C57EFB3" w:rsidR="00AC404F" w:rsidRDefault="00AC404F" w:rsidP="00C5144D">
      <w:pPr>
        <w:pStyle w:val="ListParagraph"/>
        <w:numPr>
          <w:ilvl w:val="0"/>
          <w:numId w:val="8"/>
        </w:numPr>
      </w:pPr>
      <w:r>
        <w:t>SRS should correspond only to the active DL BWP</w:t>
      </w:r>
    </w:p>
    <w:p w14:paraId="74936D35" w14:textId="51FA33AB" w:rsidR="00AC404F" w:rsidRDefault="00AC404F" w:rsidP="00C5144D">
      <w:pPr>
        <w:pStyle w:val="ListParagraph"/>
        <w:numPr>
          <w:ilvl w:val="0"/>
          <w:numId w:val="8"/>
        </w:numPr>
      </w:pPr>
      <w:r>
        <w:t xml:space="preserve">But SRS is transmitted on UL, there are two </w:t>
      </w:r>
      <w:r w:rsidR="00B533BC">
        <w:t>possible configurations</w:t>
      </w:r>
      <w:r>
        <w:t>:</w:t>
      </w:r>
    </w:p>
    <w:p w14:paraId="2E65B33B" w14:textId="1F4D08F0" w:rsidR="00AC404F" w:rsidRDefault="00AC404F" w:rsidP="00C5144D">
      <w:pPr>
        <w:pStyle w:val="ListParagraph"/>
        <w:numPr>
          <w:ilvl w:val="1"/>
          <w:numId w:val="8"/>
        </w:numPr>
      </w:pPr>
      <w:r>
        <w:t>DL BWP is a subset of UL BWP</w:t>
      </w:r>
      <w:r w:rsidR="00B25632">
        <w:t xml:space="preserve"> for the BWP pair</w:t>
      </w:r>
      <w:r>
        <w:t>:</w:t>
      </w:r>
    </w:p>
    <w:p w14:paraId="719AE15B" w14:textId="1891DA05" w:rsidR="00AC404F" w:rsidRDefault="00AC404F" w:rsidP="00C5144D">
      <w:pPr>
        <w:pStyle w:val="ListParagraph"/>
        <w:numPr>
          <w:ilvl w:val="2"/>
          <w:numId w:val="8"/>
        </w:numPr>
      </w:pPr>
      <w:r>
        <w:t>No issue, send SRS on frequency range of DL BWP in the UL direction.</w:t>
      </w:r>
    </w:p>
    <w:p w14:paraId="2374D8EF" w14:textId="484AA5F6" w:rsidR="00AC404F" w:rsidRDefault="00AC404F" w:rsidP="00C5144D">
      <w:pPr>
        <w:pStyle w:val="ListParagraph"/>
        <w:numPr>
          <w:ilvl w:val="1"/>
          <w:numId w:val="8"/>
        </w:numPr>
      </w:pPr>
      <w:r>
        <w:t xml:space="preserve">UL BWP is a </w:t>
      </w:r>
      <w:r w:rsidR="001921F7">
        <w:t xml:space="preserve">proper </w:t>
      </w:r>
      <w:r>
        <w:t>subset of DL BWP</w:t>
      </w:r>
      <w:r w:rsidR="00B25632">
        <w:t xml:space="preserve"> for the BWP pair</w:t>
      </w:r>
      <w:r>
        <w:t>:</w:t>
      </w:r>
    </w:p>
    <w:p w14:paraId="020B55D9" w14:textId="5157EC75" w:rsidR="00AC404F" w:rsidRDefault="00AC404F" w:rsidP="00C5144D">
      <w:pPr>
        <w:pStyle w:val="ListParagraph"/>
        <w:numPr>
          <w:ilvl w:val="2"/>
          <w:numId w:val="8"/>
        </w:numPr>
      </w:pPr>
      <w:r>
        <w:t>Allow sending SRS outside of UL BWP, but still within the frequency range of DL BWP.</w:t>
      </w:r>
    </w:p>
    <w:p w14:paraId="2A14A99B" w14:textId="521E2F0E" w:rsidR="00AC404F" w:rsidRDefault="00AC404F" w:rsidP="00C5144D">
      <w:pPr>
        <w:pStyle w:val="ListParagraph"/>
        <w:numPr>
          <w:ilvl w:val="2"/>
          <w:numId w:val="8"/>
        </w:numPr>
      </w:pPr>
      <w:r>
        <w:t>To support this, implicit gap for UL BWP switching needs to be specified.</w:t>
      </w:r>
    </w:p>
    <w:tbl>
      <w:tblPr>
        <w:tblStyle w:val="TableGrid"/>
        <w:tblW w:w="0" w:type="auto"/>
        <w:tblLook w:val="04A0" w:firstRow="1" w:lastRow="0" w:firstColumn="1" w:lastColumn="0" w:noHBand="0" w:noVBand="1"/>
      </w:tblPr>
      <w:tblGrid>
        <w:gridCol w:w="5575"/>
        <w:gridCol w:w="4053"/>
      </w:tblGrid>
      <w:tr w:rsidR="00B25632" w14:paraId="7442FF1D" w14:textId="77777777" w:rsidTr="00FA27B9">
        <w:trPr>
          <w:cantSplit/>
        </w:trPr>
        <w:tc>
          <w:tcPr>
            <w:tcW w:w="5575" w:type="dxa"/>
          </w:tcPr>
          <w:p w14:paraId="586B74FC" w14:textId="77777777" w:rsidR="00B25632" w:rsidRDefault="00B25632" w:rsidP="00AC404F">
            <w:r>
              <w:t>Configuration 1:</w:t>
            </w:r>
          </w:p>
          <w:p w14:paraId="4751C4B3" w14:textId="1AA2A032" w:rsidR="00B25632" w:rsidRDefault="00B25632" w:rsidP="00AC404F">
            <w:r>
              <w:rPr>
                <w:noProof/>
              </w:rPr>
              <w:drawing>
                <wp:inline distT="0" distB="0" distL="0" distR="0" wp14:anchorId="6281404E" wp14:editId="370DE2A6">
                  <wp:extent cx="1316736" cy="111556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316736" cy="1115568"/>
                          </a:xfrm>
                          <a:prstGeom prst="rect">
                            <a:avLst/>
                          </a:prstGeom>
                        </pic:spPr>
                      </pic:pic>
                    </a:graphicData>
                  </a:graphic>
                </wp:inline>
              </w:drawing>
            </w:r>
            <w:r>
              <w:rPr>
                <w:noProof/>
              </w:rPr>
              <w:t xml:space="preserve">                            </w:t>
            </w:r>
            <w:r>
              <w:rPr>
                <w:noProof/>
              </w:rPr>
              <w:drawing>
                <wp:inline distT="0" distB="0" distL="0" distR="0" wp14:anchorId="0A8A9C5B" wp14:editId="42E6B89C">
                  <wp:extent cx="374904" cy="1115568"/>
                  <wp:effectExtent l="0" t="0" r="635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4904" cy="1115568"/>
                          </a:xfrm>
                          <a:prstGeom prst="rect">
                            <a:avLst/>
                          </a:prstGeom>
                        </pic:spPr>
                      </pic:pic>
                    </a:graphicData>
                  </a:graphic>
                </wp:inline>
              </w:drawing>
            </w:r>
          </w:p>
        </w:tc>
        <w:tc>
          <w:tcPr>
            <w:tcW w:w="4053" w:type="dxa"/>
          </w:tcPr>
          <w:p w14:paraId="0F7A6DC3" w14:textId="77777777" w:rsidR="00B25632" w:rsidRDefault="00B25632" w:rsidP="00AC404F">
            <w:r>
              <w:t>Configuration 2:</w:t>
            </w:r>
          </w:p>
          <w:p w14:paraId="26F3DBC6" w14:textId="449255D2" w:rsidR="00B25632" w:rsidRDefault="00B25632" w:rsidP="00AC404F">
            <w:r>
              <w:rPr>
                <w:noProof/>
              </w:rPr>
              <w:drawing>
                <wp:inline distT="0" distB="0" distL="0" distR="0" wp14:anchorId="3CF32E2F" wp14:editId="69971DC8">
                  <wp:extent cx="1316736" cy="98755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16736" cy="987552"/>
                          </a:xfrm>
                          <a:prstGeom prst="rect">
                            <a:avLst/>
                          </a:prstGeom>
                        </pic:spPr>
                      </pic:pic>
                    </a:graphicData>
                  </a:graphic>
                </wp:inline>
              </w:drawing>
            </w:r>
          </w:p>
        </w:tc>
      </w:tr>
    </w:tbl>
    <w:p w14:paraId="5EEA629A" w14:textId="47A2F7B4" w:rsidR="00345AE6" w:rsidRDefault="00345AE6" w:rsidP="00AC404F"/>
    <w:p w14:paraId="4B7D2917" w14:textId="511AAB07" w:rsidR="00345AE6" w:rsidRDefault="00B533BC" w:rsidP="00AC404F">
      <w:r>
        <w:lastRenderedPageBreak/>
        <w:t>In order to simplify implementation and specification effort, we propose supporting configuration (1) only for Rel-15.</w:t>
      </w:r>
    </w:p>
    <w:p w14:paraId="452C0957" w14:textId="79CDDF95" w:rsidR="00B25632" w:rsidRDefault="00B25632" w:rsidP="00B25632">
      <w:pPr>
        <w:pStyle w:val="Caption"/>
      </w:pPr>
      <w:bookmarkStart w:id="2" w:name="_Ref503282876"/>
      <w:bookmarkStart w:id="3" w:name="_Toc498701144"/>
      <w:bookmarkStart w:id="4" w:name="_Toc498702919"/>
      <w:bookmarkStart w:id="5" w:name="_Toc498711163"/>
      <w:bookmarkStart w:id="6" w:name="_Toc498712640"/>
      <w:bookmarkStart w:id="7" w:name="_Toc498712708"/>
      <w:bookmarkStart w:id="8" w:name="_Toc498714480"/>
      <w:bookmarkStart w:id="9" w:name="_Toc498715966"/>
      <w:bookmarkStart w:id="10" w:name="_Toc498716640"/>
      <w:bookmarkStart w:id="11" w:name="_Toc498717146"/>
      <w:bookmarkStart w:id="12" w:name="_Toc498717285"/>
      <w:bookmarkStart w:id="13" w:name="_Toc498717531"/>
      <w:bookmarkStart w:id="14" w:name="_Toc498720181"/>
      <w:bookmarkStart w:id="15" w:name="_Toc503105505"/>
      <w:bookmarkStart w:id="16" w:name="_Toc503105517"/>
      <w:bookmarkStart w:id="17" w:name="_Toc503105527"/>
      <w:bookmarkStart w:id="18" w:name="_Toc503105644"/>
      <w:bookmarkStart w:id="19" w:name="_Toc503260714"/>
      <w:bookmarkStart w:id="20" w:name="_Toc503267956"/>
      <w:bookmarkStart w:id="21" w:name="_Toc503268137"/>
      <w:bookmarkStart w:id="22" w:name="_Toc503268187"/>
      <w:bookmarkStart w:id="23" w:name="_Toc503268215"/>
      <w:bookmarkStart w:id="24" w:name="_Toc503282491"/>
      <w:bookmarkStart w:id="25" w:name="_Toc503313771"/>
      <w:bookmarkStart w:id="26" w:name="_Toc503464741"/>
      <w:bookmarkStart w:id="27" w:name="_Toc503486493"/>
      <w:bookmarkStart w:id="28" w:name="_Toc503488673"/>
      <w:bookmarkStart w:id="29" w:name="_Toc503489507"/>
      <w:bookmarkStart w:id="30" w:name="_Toc503490976"/>
      <w:bookmarkStart w:id="31" w:name="_Toc503491315"/>
      <w:bookmarkStart w:id="32" w:name="_Toc503534859"/>
      <w:bookmarkStart w:id="33" w:name="_Toc503538744"/>
      <w:bookmarkStart w:id="34" w:name="_Toc503539928"/>
      <w:bookmarkStart w:id="35" w:name="_Toc503539994"/>
      <w:bookmarkStart w:id="36" w:name="_Toc503542172"/>
      <w:bookmarkStart w:id="37" w:name="_Toc503545877"/>
      <w:bookmarkStart w:id="38" w:name="_Toc503545893"/>
      <w:bookmarkStart w:id="39" w:name="_Toc503547086"/>
      <w:bookmarkStart w:id="40" w:name="_Toc503547219"/>
      <w:bookmarkStart w:id="41" w:name="_Toc503547798"/>
      <w:bookmarkStart w:id="42" w:name="_Toc503552107"/>
      <w:bookmarkStart w:id="43" w:name="_Toc503553230"/>
      <w:r>
        <w:t xml:space="preserve">Proposal </w:t>
      </w:r>
      <w:r w:rsidR="001E1392">
        <w:fldChar w:fldCharType="begin"/>
      </w:r>
      <w:r w:rsidR="001E1392">
        <w:instrText xml:space="preserve"> SEQ Proposal \* ARABIC </w:instrText>
      </w:r>
      <w:r w:rsidR="001E1392">
        <w:fldChar w:fldCharType="separate"/>
      </w:r>
      <w:r w:rsidR="00685646">
        <w:rPr>
          <w:noProof/>
        </w:rPr>
        <w:t>1</w:t>
      </w:r>
      <w:r w:rsidR="001E1392">
        <w:rPr>
          <w:noProof/>
        </w:rPr>
        <w:fldChar w:fldCharType="end"/>
      </w:r>
      <w:bookmarkEnd w:id="2"/>
      <w:r>
        <w:t xml:space="preserve">: </w:t>
      </w:r>
      <w:r w:rsidR="00D4039F">
        <w:t xml:space="preserve">For TDD, </w:t>
      </w:r>
      <w:r>
        <w:t xml:space="preserve">SRS transmission </w:t>
      </w:r>
      <w:r w:rsidR="00274D04">
        <w:t xml:space="preserve">in the UL direction </w:t>
      </w:r>
      <w:r>
        <w:t xml:space="preserve">is restricted to only the frequency range of the </w:t>
      </w:r>
      <w:r w:rsidR="002D7EA0">
        <w:t>active</w:t>
      </w:r>
      <w:r>
        <w:t xml:space="preserve"> DL BWP.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 xml:space="preserve"> </w:t>
      </w:r>
    </w:p>
    <w:p w14:paraId="0F6F59DA" w14:textId="2CC958A7" w:rsidR="00B25632" w:rsidRPr="00B25632" w:rsidRDefault="00B25632" w:rsidP="00B25632">
      <w:pPr>
        <w:pStyle w:val="Caption"/>
      </w:pPr>
      <w:bookmarkStart w:id="44" w:name="_Toc498701145"/>
      <w:bookmarkStart w:id="45" w:name="_Toc498702920"/>
      <w:bookmarkStart w:id="46" w:name="_Toc498711164"/>
      <w:bookmarkStart w:id="47" w:name="_Toc498712641"/>
      <w:bookmarkStart w:id="48" w:name="_Toc498712709"/>
      <w:bookmarkStart w:id="49" w:name="_Toc498714481"/>
      <w:bookmarkStart w:id="50" w:name="_Toc498715967"/>
      <w:bookmarkStart w:id="51" w:name="_Toc498716641"/>
      <w:bookmarkStart w:id="52" w:name="_Toc498717147"/>
      <w:bookmarkStart w:id="53" w:name="_Toc498717286"/>
      <w:bookmarkStart w:id="54" w:name="_Toc498717532"/>
      <w:bookmarkStart w:id="55" w:name="_Toc498720182"/>
      <w:bookmarkStart w:id="56" w:name="_Toc503105506"/>
      <w:bookmarkStart w:id="57" w:name="_Toc503105518"/>
      <w:bookmarkStart w:id="58" w:name="_Toc503105528"/>
      <w:bookmarkStart w:id="59" w:name="_Toc503105645"/>
      <w:bookmarkStart w:id="60" w:name="_Toc503260715"/>
      <w:bookmarkStart w:id="61" w:name="_Toc503267957"/>
      <w:bookmarkStart w:id="62" w:name="_Toc503268138"/>
      <w:bookmarkStart w:id="63" w:name="_Toc503268188"/>
      <w:bookmarkStart w:id="64" w:name="_Toc503268216"/>
      <w:bookmarkStart w:id="65" w:name="_Toc503282492"/>
      <w:bookmarkStart w:id="66" w:name="_Toc503313772"/>
      <w:bookmarkStart w:id="67" w:name="_Toc503464742"/>
      <w:bookmarkStart w:id="68" w:name="_Toc503486494"/>
      <w:bookmarkStart w:id="69" w:name="_Toc503488674"/>
      <w:bookmarkStart w:id="70" w:name="_Toc503489508"/>
      <w:bookmarkStart w:id="71" w:name="_Toc503490977"/>
      <w:bookmarkStart w:id="72" w:name="_Toc503491316"/>
      <w:bookmarkStart w:id="73" w:name="_Toc503534860"/>
      <w:bookmarkStart w:id="74" w:name="_Toc503538745"/>
      <w:bookmarkStart w:id="75" w:name="_Toc503539929"/>
      <w:bookmarkStart w:id="76" w:name="_Toc503539995"/>
      <w:bookmarkStart w:id="77" w:name="_Toc503542173"/>
      <w:bookmarkStart w:id="78" w:name="_Toc503545878"/>
      <w:bookmarkStart w:id="79" w:name="_Toc503545894"/>
      <w:bookmarkStart w:id="80" w:name="_Toc503547087"/>
      <w:bookmarkStart w:id="81" w:name="_Toc503547220"/>
      <w:bookmarkStart w:id="82" w:name="_Toc503547799"/>
      <w:bookmarkStart w:id="83" w:name="_Toc503552108"/>
      <w:bookmarkStart w:id="84" w:name="_Toc503553231"/>
      <w:r>
        <w:t xml:space="preserve">Proposal </w:t>
      </w:r>
      <w:r w:rsidR="001E1392">
        <w:fldChar w:fldCharType="begin"/>
      </w:r>
      <w:r w:rsidR="001E1392">
        <w:instrText xml:space="preserve"> SEQ Proposal \* ARABIC </w:instrText>
      </w:r>
      <w:r w:rsidR="001E1392">
        <w:fldChar w:fldCharType="separate"/>
      </w:r>
      <w:r w:rsidR="00685646">
        <w:rPr>
          <w:noProof/>
        </w:rPr>
        <w:t>2</w:t>
      </w:r>
      <w:r w:rsidR="001E1392">
        <w:rPr>
          <w:noProof/>
        </w:rPr>
        <w:fldChar w:fldCharType="end"/>
      </w:r>
      <w:r>
        <w:t>: For Rel-15, for unpaired spectrum</w:t>
      </w:r>
      <w:r w:rsidR="00D4039F">
        <w:t xml:space="preserve"> and if SRS feature is enabled</w:t>
      </w:r>
      <w:r>
        <w:t xml:space="preserve">, do not support the BWP pair configuration where the UL BWP frequency range is a </w:t>
      </w:r>
      <w:r w:rsidR="0006482A">
        <w:t xml:space="preserve">proper </w:t>
      </w:r>
      <w:r>
        <w:t>subset of that of the DL BWP.</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104C7EE" w14:textId="3AB61B10" w:rsidR="00AC404F" w:rsidRDefault="00AC404F" w:rsidP="00AC404F"/>
    <w:p w14:paraId="6B0514FC" w14:textId="12BBE9D8" w:rsidR="000378AE" w:rsidRDefault="000378AE" w:rsidP="00E20ED1">
      <w:pPr>
        <w:pStyle w:val="Heading3"/>
      </w:pPr>
      <w:bookmarkStart w:id="85" w:name="_Ref503288531"/>
      <w:bookmarkStart w:id="86" w:name="_Ref503258185"/>
      <w:r>
        <w:t>Resource Allocation Field</w:t>
      </w:r>
      <w:bookmarkEnd w:id="85"/>
      <w:r w:rsidR="00110570">
        <w:t xml:space="preserve"> for BWP Switching DCI</w:t>
      </w:r>
    </w:p>
    <w:p w14:paraId="3289216E" w14:textId="4CAB8F35" w:rsidR="000378AE" w:rsidRDefault="000378AE" w:rsidP="000378AE">
      <w:r>
        <w:t xml:space="preserve">Based on </w:t>
      </w:r>
      <w:r w:rsidR="003D7ECA">
        <w:t xml:space="preserve">current specification </w:t>
      </w:r>
      <w:r w:rsidR="003D7ECA">
        <w:fldChar w:fldCharType="begin"/>
      </w:r>
      <w:r w:rsidR="003D7ECA">
        <w:instrText xml:space="preserve"> REF _Ref503539947 \r \h </w:instrText>
      </w:r>
      <w:r w:rsidR="003D7ECA">
        <w:fldChar w:fldCharType="separate"/>
      </w:r>
      <w:r w:rsidR="00685646">
        <w:t>[6]</w:t>
      </w:r>
      <w:r w:rsidR="003D7ECA">
        <w:fldChar w:fldCharType="end"/>
      </w:r>
      <w:r>
        <w:t xml:space="preserve">, frequency-domain resource allocation (RA) field size in DCI is determined based on the </w:t>
      </w:r>
      <w:r w:rsidR="00C33130">
        <w:t xml:space="preserve">number of RBs of the </w:t>
      </w:r>
      <w:r w:rsidR="002D7EA0">
        <w:t>active</w:t>
      </w:r>
      <w:r>
        <w:t xml:space="preserve"> BWP. Because BWP switching is triggered by cross-BWP scheduling</w:t>
      </w:r>
      <w:r w:rsidR="00581B69">
        <w:t xml:space="preserve"> (and only supported with non-fallback DCI)</w:t>
      </w:r>
      <w:r>
        <w:t>, there are two main case</w:t>
      </w:r>
      <w:r w:rsidR="00D3517D">
        <w:t>s</w:t>
      </w:r>
      <w:r>
        <w:t xml:space="preserve"> to consider:</w:t>
      </w:r>
    </w:p>
    <w:p w14:paraId="51D436C7" w14:textId="77777777" w:rsidR="000378AE" w:rsidRDefault="000378AE" w:rsidP="000378AE">
      <w:pPr>
        <w:pStyle w:val="ListParagraph"/>
        <w:numPr>
          <w:ilvl w:val="0"/>
          <w:numId w:val="29"/>
        </w:numPr>
      </w:pPr>
      <w:r>
        <w:t>Transitioning from a wider BWP to a narrower BWP</w:t>
      </w:r>
    </w:p>
    <w:p w14:paraId="55464483" w14:textId="77777777" w:rsidR="000378AE" w:rsidRDefault="000378AE" w:rsidP="000378AE">
      <w:pPr>
        <w:pStyle w:val="ListParagraph"/>
        <w:numPr>
          <w:ilvl w:val="0"/>
          <w:numId w:val="29"/>
        </w:numPr>
      </w:pPr>
      <w:r>
        <w:t>Transitioning from a narrower BWP to a wider BWP</w:t>
      </w:r>
    </w:p>
    <w:p w14:paraId="03BF35BA" w14:textId="7AEFDF5A" w:rsidR="000378AE" w:rsidRDefault="000378AE" w:rsidP="000378AE">
      <w:r>
        <w:t xml:space="preserve">For Case (1), the RA field with a larger size, determined based on the wider BWP, would be used to signal resource allocation in the narrower BWP. There is no issue for this case: </w:t>
      </w:r>
      <w:r w:rsidR="004F0548">
        <w:t>Not all of the addressable range supported by the</w:t>
      </w:r>
      <w:r>
        <w:t xml:space="preserve"> RA field </w:t>
      </w:r>
      <w:r w:rsidR="004F0548">
        <w:t>is needed</w:t>
      </w:r>
      <w:r>
        <w:t>.</w:t>
      </w:r>
      <w:r w:rsidRPr="006A4C6C">
        <w:t xml:space="preserve"> </w:t>
      </w:r>
      <w:r>
        <w:t>This method also works for the case where the transition is between two BWPs with the same bandwidth size.</w:t>
      </w:r>
    </w:p>
    <w:p w14:paraId="597CD5C5" w14:textId="4BCD1175" w:rsidR="000378AE" w:rsidRDefault="000378AE" w:rsidP="000378AE">
      <w:r>
        <w:t xml:space="preserve">For Case (2), the RA field with a smaller size would be used to signal resource allocation in a wider BWP. There is some ambiguity on how the RA field should be interpreted, as there appears to be at least two alternatives: (i) Interpretation is based on the BWP indicated by the BWP ID (i.e. the </w:t>
      </w:r>
      <w:r w:rsidR="003170FD">
        <w:t>target</w:t>
      </w:r>
      <w:r>
        <w:t xml:space="preserve"> BWP) in DCI; (ii) Interpretation is based on the active BWP (i.e. the </w:t>
      </w:r>
      <w:r w:rsidR="003170FD">
        <w:t>original BWP</w:t>
      </w:r>
      <w:r>
        <w:t xml:space="preserve">). Because the RA field is sized based on the active BWP, we think it is more consistent to adopt alternative (ii), i.e. also interpret RA field based on the </w:t>
      </w:r>
      <w:r w:rsidR="002D7EA0">
        <w:t>active</w:t>
      </w:r>
      <w:r>
        <w:t xml:space="preserve"> BWP.</w:t>
      </w:r>
    </w:p>
    <w:p w14:paraId="3E44AFE0" w14:textId="2988828D" w:rsidR="00C33130" w:rsidRDefault="00C33130">
      <w:pPr>
        <w:pStyle w:val="Caption"/>
      </w:pPr>
      <w:bookmarkStart w:id="87" w:name="_Hlk503490630"/>
      <w:bookmarkStart w:id="88" w:name="_Toc503553227"/>
      <w:r>
        <w:t xml:space="preserve">Observation </w:t>
      </w:r>
      <w:r w:rsidR="001E1392">
        <w:fldChar w:fldCharType="begin"/>
      </w:r>
      <w:r w:rsidR="001E1392">
        <w:instrText xml:space="preserve"> SEQ Observation \* ARABIC </w:instrText>
      </w:r>
      <w:r w:rsidR="001E1392">
        <w:fldChar w:fldCharType="separate"/>
      </w:r>
      <w:r w:rsidR="00685646">
        <w:rPr>
          <w:noProof/>
        </w:rPr>
        <w:t>1</w:t>
      </w:r>
      <w:r w:rsidR="001E1392">
        <w:rPr>
          <w:noProof/>
        </w:rPr>
        <w:fldChar w:fldCharType="end"/>
      </w:r>
      <w:r>
        <w:t xml:space="preserve">: When BWP switching is triggered by a scheduling DCI, </w:t>
      </w:r>
      <w:r w:rsidR="001415E2">
        <w:t xml:space="preserve">it is considered that </w:t>
      </w:r>
      <w:r>
        <w:t xml:space="preserve">active </w:t>
      </w:r>
      <w:r w:rsidR="00C21791">
        <w:t>DL</w:t>
      </w:r>
      <w:r w:rsidR="00694283">
        <w:t>/</w:t>
      </w:r>
      <w:r w:rsidR="00C21791">
        <w:t xml:space="preserve">UL </w:t>
      </w:r>
      <w:r>
        <w:t>BWP is changed to the target BWP at the beginning of the slot that is k0 slots after the slot containing the DL scheduling DCI, or k2 slots after the slot containing the UL scheduling DCI.</w:t>
      </w:r>
      <w:bookmarkEnd w:id="88"/>
    </w:p>
    <w:p w14:paraId="2521BF0F" w14:textId="3A7936CB" w:rsidR="000378AE" w:rsidRDefault="000378AE" w:rsidP="000378AE">
      <w:pPr>
        <w:pStyle w:val="Caption"/>
      </w:pPr>
      <w:bookmarkStart w:id="89" w:name="_Toc503553228"/>
      <w:r>
        <w:t xml:space="preserve">Observation </w:t>
      </w:r>
      <w:r w:rsidR="001E1392">
        <w:fldChar w:fldCharType="begin"/>
      </w:r>
      <w:r w:rsidR="001E1392">
        <w:instrText xml:space="preserve"> SEQ Observation \* ARABIC </w:instrText>
      </w:r>
      <w:r w:rsidR="001E1392">
        <w:fldChar w:fldCharType="separate"/>
      </w:r>
      <w:r w:rsidR="00685646">
        <w:rPr>
          <w:noProof/>
        </w:rPr>
        <w:t>2</w:t>
      </w:r>
      <w:r w:rsidR="001E1392">
        <w:rPr>
          <w:noProof/>
        </w:rPr>
        <w:fldChar w:fldCharType="end"/>
      </w:r>
      <w:r>
        <w:t>: The resource allocation field in a scheduling DCI</w:t>
      </w:r>
      <w:r w:rsidR="006F77F9">
        <w:t>,</w:t>
      </w:r>
      <w:r>
        <w:t xml:space="preserve"> which </w:t>
      </w:r>
      <w:r w:rsidR="006F77F9">
        <w:t xml:space="preserve">may </w:t>
      </w:r>
      <w:r>
        <w:t>also trigger BWP switching</w:t>
      </w:r>
      <w:r w:rsidR="006F77F9">
        <w:t>,</w:t>
      </w:r>
      <w:r>
        <w:t xml:space="preserve"> is sized according to the </w:t>
      </w:r>
      <w:r w:rsidR="002D7EA0">
        <w:t>active</w:t>
      </w:r>
      <w:r>
        <w:t xml:space="preserve"> BWP.</w:t>
      </w:r>
      <w:bookmarkEnd w:id="89"/>
    </w:p>
    <w:p w14:paraId="1AAB69C9" w14:textId="20069B10" w:rsidR="000378AE" w:rsidRDefault="000378AE" w:rsidP="000378AE">
      <w:pPr>
        <w:pStyle w:val="Caption"/>
      </w:pPr>
      <w:bookmarkStart w:id="90" w:name="_Ref503282885"/>
      <w:bookmarkStart w:id="91" w:name="_Toc503282493"/>
      <w:bookmarkStart w:id="92" w:name="_Toc503313773"/>
      <w:bookmarkStart w:id="93" w:name="_Toc503464743"/>
      <w:bookmarkStart w:id="94" w:name="_Toc503486495"/>
      <w:bookmarkStart w:id="95" w:name="_Toc503488675"/>
      <w:bookmarkStart w:id="96" w:name="_Toc503489509"/>
      <w:bookmarkStart w:id="97" w:name="_Toc503490978"/>
      <w:bookmarkStart w:id="98" w:name="_Toc503491317"/>
      <w:bookmarkStart w:id="99" w:name="_Toc503534861"/>
      <w:bookmarkStart w:id="100" w:name="_Toc503538746"/>
      <w:bookmarkStart w:id="101" w:name="_Toc503539930"/>
      <w:bookmarkStart w:id="102" w:name="_Toc503539996"/>
      <w:bookmarkStart w:id="103" w:name="_Toc503542174"/>
      <w:bookmarkStart w:id="104" w:name="_Toc503545879"/>
      <w:bookmarkStart w:id="105" w:name="_Toc503545895"/>
      <w:bookmarkStart w:id="106" w:name="_Toc503547088"/>
      <w:bookmarkStart w:id="107" w:name="_Toc503547221"/>
      <w:bookmarkStart w:id="108" w:name="_Toc503547800"/>
      <w:bookmarkStart w:id="109" w:name="_Toc503552109"/>
      <w:bookmarkStart w:id="110" w:name="_Toc503553232"/>
      <w:r>
        <w:t xml:space="preserve">Proposal </w:t>
      </w:r>
      <w:r w:rsidR="001E1392">
        <w:fldChar w:fldCharType="begin"/>
      </w:r>
      <w:r w:rsidR="001E1392">
        <w:instrText xml:space="preserve"> SEQ Proposal \* ARABIC </w:instrText>
      </w:r>
      <w:r w:rsidR="001E1392">
        <w:fldChar w:fldCharType="separate"/>
      </w:r>
      <w:r w:rsidR="00685646">
        <w:rPr>
          <w:noProof/>
        </w:rPr>
        <w:t>3</w:t>
      </w:r>
      <w:r w:rsidR="001E1392">
        <w:rPr>
          <w:noProof/>
        </w:rPr>
        <w:fldChar w:fldCharType="end"/>
      </w:r>
      <w:bookmarkEnd w:id="90"/>
      <w:r>
        <w:t xml:space="preserve">: The resource allocation field in a scheduling DCI which also triggers BWP switching is interpreted based on the </w:t>
      </w:r>
      <w:r w:rsidR="002D7EA0">
        <w:t>active</w:t>
      </w:r>
      <w:r>
        <w:t xml:space="preserve"> BWP (i.e. not the target BWP indicated in the BWP ID field).</w:t>
      </w:r>
      <w:bookmarkEnd w:id="91"/>
      <w:bookmarkEnd w:id="92"/>
      <w:r w:rsidR="00073F5E">
        <w:t xml:space="preserve"> The physical resource block allocation is directly mapped to the target BWP.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bookmarkEnd w:id="87"/>
    <w:p w14:paraId="3D05F480" w14:textId="31729BCE" w:rsidR="000378AE" w:rsidRDefault="00A50CE6" w:rsidP="000378AE">
      <w:r>
        <w:t xml:space="preserve">Above proposal, when applied to Case (1), i.e. wide-to-narrow-BWP transition, means that it is gNB responsibility to construct the content of the RA such that the PRB allocation (with respect to the component carrier) </w:t>
      </w:r>
      <w:r w:rsidR="00167D18">
        <w:t xml:space="preserve">is not outside of the frequency range of the </w:t>
      </w:r>
      <w:r>
        <w:t>narrower BWP.</w:t>
      </w:r>
    </w:p>
    <w:tbl>
      <w:tblPr>
        <w:tblStyle w:val="TableGrid"/>
        <w:tblW w:w="0" w:type="auto"/>
        <w:tblLook w:val="04A0" w:firstRow="1" w:lastRow="0" w:firstColumn="1" w:lastColumn="0" w:noHBand="0" w:noVBand="1"/>
      </w:tblPr>
      <w:tblGrid>
        <w:gridCol w:w="4814"/>
        <w:gridCol w:w="4814"/>
      </w:tblGrid>
      <w:tr w:rsidR="00091C9C" w14:paraId="16D1FDCF" w14:textId="77777777" w:rsidTr="00091C9C">
        <w:tc>
          <w:tcPr>
            <w:tcW w:w="4814" w:type="dxa"/>
          </w:tcPr>
          <w:p w14:paraId="11F75978" w14:textId="0DC6D4C9" w:rsidR="00091C9C" w:rsidRDefault="00091C9C" w:rsidP="000378AE">
            <w:r>
              <w:t>Narrow-to-Wide BWP transition (2):</w:t>
            </w:r>
          </w:p>
          <w:p w14:paraId="77827339" w14:textId="118AB967" w:rsidR="00091C9C" w:rsidRDefault="00091C9C" w:rsidP="000378AE">
            <w:r>
              <w:rPr>
                <w:noProof/>
              </w:rPr>
              <w:drawing>
                <wp:inline distT="0" distB="0" distL="0" distR="0" wp14:anchorId="4FCE665F" wp14:editId="38B16AA8">
                  <wp:extent cx="2578608" cy="1746504"/>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78608" cy="1746504"/>
                          </a:xfrm>
                          <a:prstGeom prst="rect">
                            <a:avLst/>
                          </a:prstGeom>
                        </pic:spPr>
                      </pic:pic>
                    </a:graphicData>
                  </a:graphic>
                </wp:inline>
              </w:drawing>
            </w:r>
          </w:p>
        </w:tc>
        <w:tc>
          <w:tcPr>
            <w:tcW w:w="4814" w:type="dxa"/>
          </w:tcPr>
          <w:p w14:paraId="7D2FC262" w14:textId="3E623C59" w:rsidR="00091C9C" w:rsidRDefault="00091C9C" w:rsidP="000378AE">
            <w:r>
              <w:t>Wide-to-narrow BWP transition (1):</w:t>
            </w:r>
          </w:p>
          <w:p w14:paraId="628B5893" w14:textId="7E28C58E" w:rsidR="00091C9C" w:rsidRDefault="00091C9C" w:rsidP="000378AE">
            <w:r>
              <w:rPr>
                <w:noProof/>
              </w:rPr>
              <w:drawing>
                <wp:inline distT="0" distB="0" distL="0" distR="0" wp14:anchorId="0F7DF81E" wp14:editId="193C4E14">
                  <wp:extent cx="2423160" cy="1673352"/>
                  <wp:effectExtent l="0" t="0" r="0" b="317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23160" cy="1673352"/>
                          </a:xfrm>
                          <a:prstGeom prst="rect">
                            <a:avLst/>
                          </a:prstGeom>
                        </pic:spPr>
                      </pic:pic>
                    </a:graphicData>
                  </a:graphic>
                </wp:inline>
              </w:drawing>
            </w:r>
          </w:p>
        </w:tc>
      </w:tr>
    </w:tbl>
    <w:p w14:paraId="046E1AC0" w14:textId="6E41F57E" w:rsidR="00091C9C" w:rsidRDefault="00091C9C" w:rsidP="000378AE"/>
    <w:p w14:paraId="7373D94F" w14:textId="3323BCE9" w:rsidR="004F0548" w:rsidRDefault="004F0548" w:rsidP="000378AE">
      <w:r>
        <w:t xml:space="preserve">In the </w:t>
      </w:r>
      <w:r w:rsidR="006D3502">
        <w:t>important use case</w:t>
      </w:r>
      <w:r>
        <w:t xml:space="preserve"> that BWPs are overlapping, basing the interpretation of RA on the original BWP offers </w:t>
      </w:r>
      <w:r w:rsidR="006D3502">
        <w:t xml:space="preserve">a key </w:t>
      </w:r>
      <w:r>
        <w:t xml:space="preserve">advantage that the overlapping portion is schedulable by the BWP-switch-triggering DCI. Until updated CQI is </w:t>
      </w:r>
      <w:r>
        <w:lastRenderedPageBreak/>
        <w:t>available for the non-overlapping portion in the target BWP is available, there may not be much incentive to schedule outside of the overlapping portion, especially on the first slot after BWP transition.</w:t>
      </w:r>
    </w:p>
    <w:p w14:paraId="288199FC" w14:textId="1528A524" w:rsidR="000378AE" w:rsidRDefault="00A50CE6" w:rsidP="000378AE">
      <w:r>
        <w:t>Going back to Case (2), t</w:t>
      </w:r>
      <w:r w:rsidR="000378AE">
        <w:t>here are two sub-cases to consider:</w:t>
      </w:r>
    </w:p>
    <w:p w14:paraId="0EFD16F7" w14:textId="1D2CAD58" w:rsidR="000378AE" w:rsidRDefault="000378AE" w:rsidP="000378AE">
      <w:pPr>
        <w:ind w:left="288"/>
      </w:pPr>
      <w:r>
        <w:t xml:space="preserve">Case 2-a: The </w:t>
      </w:r>
      <w:r w:rsidR="003170FD">
        <w:t>original BWP</w:t>
      </w:r>
      <w:r>
        <w:t xml:space="preserve">’s frequency range is a subset of the </w:t>
      </w:r>
      <w:r w:rsidR="003170FD">
        <w:t>target</w:t>
      </w:r>
      <w:r>
        <w:t xml:space="preserve"> BWP (i.e. nested)</w:t>
      </w:r>
    </w:p>
    <w:p w14:paraId="7F0D54D0" w14:textId="31C3E1E7" w:rsidR="000378AE" w:rsidRDefault="000378AE">
      <w:pPr>
        <w:pStyle w:val="ListParagraph"/>
        <w:numPr>
          <w:ilvl w:val="0"/>
          <w:numId w:val="28"/>
        </w:numPr>
      </w:pPr>
      <w:r>
        <w:t xml:space="preserve">The RA field would be interpreted based on the </w:t>
      </w:r>
      <w:r w:rsidR="003170FD">
        <w:t>original BWP</w:t>
      </w:r>
      <w:r>
        <w:t>, and PRB allocation (</w:t>
      </w:r>
      <w:r w:rsidR="00A50CE6">
        <w:t>w.r.t. the CC</w:t>
      </w:r>
      <w:r>
        <w:t xml:space="preserve">) is then directly mapped to the </w:t>
      </w:r>
      <w:r w:rsidR="003170FD">
        <w:t>target</w:t>
      </w:r>
      <w:r>
        <w:t xml:space="preserve"> BWP</w:t>
      </w:r>
    </w:p>
    <w:p w14:paraId="6705CF9F" w14:textId="56729D27" w:rsidR="000378AE" w:rsidRDefault="000378AE" w:rsidP="000378AE">
      <w:pPr>
        <w:ind w:left="288"/>
      </w:pPr>
      <w:r>
        <w:t xml:space="preserve">Case 2-b: The </w:t>
      </w:r>
      <w:r w:rsidR="003170FD">
        <w:t>original BWP</w:t>
      </w:r>
      <w:r>
        <w:t xml:space="preserve">’s frequency range is not a subset of the </w:t>
      </w:r>
      <w:r w:rsidR="003170FD">
        <w:t>target</w:t>
      </w:r>
      <w:r>
        <w:t xml:space="preserve"> BWP</w:t>
      </w:r>
    </w:p>
    <w:p w14:paraId="64FAE552" w14:textId="245EF2D1" w:rsidR="000378AE" w:rsidRDefault="000378AE" w:rsidP="000378AE">
      <w:pPr>
        <w:pStyle w:val="ListParagraph"/>
        <w:numPr>
          <w:ilvl w:val="0"/>
          <w:numId w:val="28"/>
        </w:numPr>
      </w:pPr>
      <w:r>
        <w:t xml:space="preserve">Even if the RA field is interpreted based on the </w:t>
      </w:r>
      <w:r w:rsidR="003170FD">
        <w:t>original BWP</w:t>
      </w:r>
      <w:r>
        <w:t xml:space="preserve">, it cannot be </w:t>
      </w:r>
      <w:r w:rsidR="0006482A">
        <w:t xml:space="preserve">always </w:t>
      </w:r>
      <w:r>
        <w:t xml:space="preserve">applied to the </w:t>
      </w:r>
      <w:r w:rsidR="003170FD">
        <w:t>target</w:t>
      </w:r>
      <w:r>
        <w:t xml:space="preserve"> BWP because the PRB allocation (w.r.t. the CC) </w:t>
      </w:r>
      <w:r w:rsidR="0006482A">
        <w:t>may</w:t>
      </w:r>
      <w:r w:rsidR="00F465F2">
        <w:t xml:space="preserve"> be</w:t>
      </w:r>
      <w:r>
        <w:t xml:space="preserve"> </w:t>
      </w:r>
      <w:r w:rsidR="00D45D24">
        <w:t>fully or partially outside the frequency range of</w:t>
      </w:r>
      <w:r>
        <w:t xml:space="preserve"> the </w:t>
      </w:r>
      <w:r w:rsidR="003170FD">
        <w:t>target</w:t>
      </w:r>
      <w:r>
        <w:t xml:space="preserve"> BWP.</w:t>
      </w:r>
    </w:p>
    <w:p w14:paraId="083C5D79" w14:textId="3FCA69CF" w:rsidR="000378AE" w:rsidRDefault="000378AE" w:rsidP="000378AE">
      <w:pPr>
        <w:pStyle w:val="ListParagraph"/>
        <w:numPr>
          <w:ilvl w:val="0"/>
          <w:numId w:val="28"/>
        </w:numPr>
      </w:pPr>
      <w:r>
        <w:t xml:space="preserve">gNB should </w:t>
      </w:r>
      <w:r w:rsidR="00656FA1">
        <w:t xml:space="preserve">avoid scheduling for this transitory slot by </w:t>
      </w:r>
      <w:r>
        <w:t>populat</w:t>
      </w:r>
      <w:r w:rsidR="00656FA1">
        <w:t>ing</w:t>
      </w:r>
      <w:r>
        <w:t xml:space="preserve"> the RA field with zero </w:t>
      </w:r>
      <w:r w:rsidR="00701405">
        <w:t>resource allocation</w:t>
      </w:r>
      <w:r>
        <w:t xml:space="preserve"> </w:t>
      </w:r>
      <w:r w:rsidR="00701405">
        <w:t>(also known as “zero</w:t>
      </w:r>
      <w:r w:rsidR="001244C2">
        <w:t>”</w:t>
      </w:r>
      <w:r w:rsidR="00701405">
        <w:t xml:space="preserve"> assignment) </w:t>
      </w:r>
      <w:r>
        <w:t>for this sub-case.</w:t>
      </w:r>
    </w:p>
    <w:p w14:paraId="0EDAA6E7" w14:textId="346C29A9" w:rsidR="000378AE" w:rsidRDefault="000378AE" w:rsidP="000378AE"/>
    <w:p w14:paraId="00FEDDBE" w14:textId="39584DC9" w:rsidR="000378AE" w:rsidRDefault="00073F5E" w:rsidP="00FA27B9">
      <w:pPr>
        <w:pStyle w:val="Caption"/>
        <w:rPr>
          <w:lang w:val="en-GB"/>
        </w:rPr>
      </w:pPr>
      <w:bookmarkStart w:id="111" w:name="_Toc503464744"/>
      <w:bookmarkStart w:id="112" w:name="_Toc503486496"/>
      <w:bookmarkStart w:id="113" w:name="_Toc503488676"/>
      <w:bookmarkStart w:id="114" w:name="_Toc503489510"/>
      <w:bookmarkStart w:id="115" w:name="_Toc503490979"/>
      <w:bookmarkStart w:id="116" w:name="_Toc503491318"/>
      <w:bookmarkStart w:id="117" w:name="_Toc503534862"/>
      <w:bookmarkStart w:id="118" w:name="_Toc503538747"/>
      <w:bookmarkStart w:id="119" w:name="_Toc503539931"/>
      <w:bookmarkStart w:id="120" w:name="_Toc503539997"/>
      <w:bookmarkStart w:id="121" w:name="_Toc503542175"/>
      <w:bookmarkStart w:id="122" w:name="_Toc503545880"/>
      <w:bookmarkStart w:id="123" w:name="_Toc503545896"/>
      <w:bookmarkStart w:id="124" w:name="_Hlk503490639"/>
      <w:bookmarkStart w:id="125" w:name="_Toc503547089"/>
      <w:bookmarkStart w:id="126" w:name="_Toc503547222"/>
      <w:bookmarkStart w:id="127" w:name="_Toc503547801"/>
      <w:bookmarkStart w:id="128" w:name="_Toc503552110"/>
      <w:bookmarkStart w:id="129" w:name="_Toc503553233"/>
      <w:r>
        <w:t xml:space="preserve">Proposal </w:t>
      </w:r>
      <w:r w:rsidR="001E1392">
        <w:fldChar w:fldCharType="begin"/>
      </w:r>
      <w:r w:rsidR="001E1392">
        <w:instrText xml:space="preserve"> SEQ Proposal \* ARABIC </w:instrText>
      </w:r>
      <w:r w:rsidR="001E1392">
        <w:fldChar w:fldCharType="separate"/>
      </w:r>
      <w:r w:rsidR="00685646">
        <w:rPr>
          <w:noProof/>
        </w:rPr>
        <w:t>4</w:t>
      </w:r>
      <w:r w:rsidR="001E1392">
        <w:rPr>
          <w:noProof/>
        </w:rPr>
        <w:fldChar w:fldCharType="end"/>
      </w:r>
      <w:r>
        <w:t xml:space="preserve">: </w:t>
      </w:r>
      <w:r w:rsidR="006C3B2C">
        <w:t xml:space="preserve">For cross-BWP scheduling, </w:t>
      </w:r>
      <w:r>
        <w:t xml:space="preserve">UE is not expected to handle the case that the physical resource block allocation </w:t>
      </w:r>
      <w:r w:rsidR="00F465F2">
        <w:t xml:space="preserve">interpreted </w:t>
      </w:r>
      <w:r>
        <w:t>based on the original BWP</w:t>
      </w:r>
      <w:r w:rsidR="00F465F2">
        <w:t>, when mapped to the target BWP,</w:t>
      </w:r>
      <w:r>
        <w:t xml:space="preserve"> is not completely within </w:t>
      </w:r>
      <w:r w:rsidR="00F465F2">
        <w:t xml:space="preserve">the </w:t>
      </w:r>
      <w:r>
        <w:t>target BWP.</w:t>
      </w:r>
      <w:r w:rsidR="00F465F2">
        <w:t xml:space="preserve"> gNB may avoid the case by populating the resource allocation field with zero </w:t>
      </w:r>
      <w:r w:rsidR="001244C2">
        <w:t>resource allocation</w:t>
      </w:r>
      <w:r w:rsidR="00F465F2">
        <w: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5"/>
      <w:bookmarkEnd w:id="126"/>
      <w:bookmarkEnd w:id="127"/>
      <w:bookmarkEnd w:id="128"/>
      <w:bookmarkEnd w:id="129"/>
    </w:p>
    <w:bookmarkEnd w:id="124"/>
    <w:p w14:paraId="24547714" w14:textId="1B7340BD" w:rsidR="005D6331" w:rsidRDefault="005D6331" w:rsidP="000378AE">
      <w:pPr>
        <w:rPr>
          <w:lang w:val="en-GB"/>
        </w:rPr>
      </w:pPr>
    </w:p>
    <w:p w14:paraId="33A14017" w14:textId="052159CD" w:rsidR="00701405" w:rsidRDefault="001244C2" w:rsidP="00701405">
      <w:r>
        <w:t xml:space="preserve">Zero resource allocation / </w:t>
      </w:r>
      <w:r w:rsidR="00701405">
        <w:t>“</w:t>
      </w:r>
      <w:r>
        <w:t>z</w:t>
      </w:r>
      <w:r w:rsidR="00701405">
        <w:t>ero</w:t>
      </w:r>
      <w:r>
        <w:t>”</w:t>
      </w:r>
      <w:r w:rsidR="00701405">
        <w:t xml:space="preserve"> assignment can be used to handle another case that does not work in the current specification. Even if the opposite of </w:t>
      </w:r>
      <w:r w:rsidR="00701405">
        <w:fldChar w:fldCharType="begin"/>
      </w:r>
      <w:r w:rsidR="00701405">
        <w:instrText xml:space="preserve"> REF _Ref503282885 \h </w:instrText>
      </w:r>
      <w:r w:rsidR="00701405">
        <w:fldChar w:fldCharType="separate"/>
      </w:r>
      <w:r w:rsidR="00685646">
        <w:t xml:space="preserve">Proposal </w:t>
      </w:r>
      <w:r w:rsidR="00685646">
        <w:rPr>
          <w:noProof/>
        </w:rPr>
        <w:t>3</w:t>
      </w:r>
      <w:r w:rsidR="00701405">
        <w:fldChar w:fldCharType="end"/>
      </w:r>
      <w:r w:rsidR="00701405">
        <w:t xml:space="preserve"> is adopted, i.e. RA field is interpreted based on the target BWP indicated in the BWP ID field, there would be restrictions on resource allocation on the target BWP based on a RA field of smaller size. Certain RB location or range may not be schedulable in the target BWP. For example, for Type1 allocation, the number of RB could be limited to one for certain starting locations. gNB should have the option to issue “zero” assignment to cope with the restrictions.</w:t>
      </w:r>
    </w:p>
    <w:p w14:paraId="7869C31D" w14:textId="570E9350" w:rsidR="006C3B2C" w:rsidRDefault="006C3B2C" w:rsidP="00FA27B9">
      <w:pPr>
        <w:pStyle w:val="Caption"/>
      </w:pPr>
      <w:bookmarkStart w:id="130" w:name="_Toc503553229"/>
      <w:r>
        <w:t xml:space="preserve">Observation </w:t>
      </w:r>
      <w:r w:rsidR="001E1392">
        <w:fldChar w:fldCharType="begin"/>
      </w:r>
      <w:r w:rsidR="001E1392">
        <w:instrText xml:space="preserve"> SEQ Observation \* ARABIC </w:instrText>
      </w:r>
      <w:r w:rsidR="001E1392">
        <w:fldChar w:fldCharType="separate"/>
      </w:r>
      <w:r w:rsidR="00685646">
        <w:rPr>
          <w:noProof/>
        </w:rPr>
        <w:t>3</w:t>
      </w:r>
      <w:r w:rsidR="001E1392">
        <w:rPr>
          <w:noProof/>
        </w:rPr>
        <w:fldChar w:fldCharType="end"/>
      </w:r>
      <w:r>
        <w:t>: Support for scheduling DCI with zero</w:t>
      </w:r>
      <w:r w:rsidR="005D2557">
        <w:t xml:space="preserve"> resource allocation</w:t>
      </w:r>
      <w:r>
        <w:t xml:space="preserve"> is essential to handle </w:t>
      </w:r>
      <w:r w:rsidR="00F35540">
        <w:t xml:space="preserve">some cases of </w:t>
      </w:r>
      <w:r>
        <w:t>resource allocation signaling restriction</w:t>
      </w:r>
      <w:r w:rsidR="00F35540">
        <w:t>s</w:t>
      </w:r>
      <w:r>
        <w:t xml:space="preserve"> due to </w:t>
      </w:r>
      <w:r w:rsidR="004B2BD3">
        <w:t>scheduling a wider BWP with a RA field sized for a narrower BWP</w:t>
      </w:r>
      <w:r>
        <w:t>.</w:t>
      </w:r>
      <w:bookmarkEnd w:id="130"/>
    </w:p>
    <w:p w14:paraId="2F875FC3" w14:textId="70D70BB6" w:rsidR="00701405" w:rsidRDefault="00701405" w:rsidP="000378AE">
      <w:r>
        <w:t xml:space="preserve">In Section </w:t>
      </w:r>
      <w:r>
        <w:fldChar w:fldCharType="begin"/>
      </w:r>
      <w:r>
        <w:instrText xml:space="preserve"> REF _Ref503286478 \r \h </w:instrText>
      </w:r>
      <w:r>
        <w:fldChar w:fldCharType="separate"/>
      </w:r>
      <w:r w:rsidR="00685646">
        <w:t>2.1.4</w:t>
      </w:r>
      <w:r>
        <w:fldChar w:fldCharType="end"/>
      </w:r>
      <w:r>
        <w:t>, zero</w:t>
      </w:r>
      <w:r w:rsidR="00EA09E1">
        <w:t xml:space="preserve"> resource allocation</w:t>
      </w:r>
      <w:r>
        <w:t xml:space="preserve"> will be discussed more in detail.</w:t>
      </w:r>
    </w:p>
    <w:p w14:paraId="5BF1915F" w14:textId="77777777" w:rsidR="00701405" w:rsidRDefault="00701405" w:rsidP="000378AE">
      <w:pPr>
        <w:rPr>
          <w:lang w:val="en-GB"/>
        </w:rPr>
      </w:pPr>
    </w:p>
    <w:p w14:paraId="40C0611F" w14:textId="43759646" w:rsidR="00777A30" w:rsidRDefault="00777A30" w:rsidP="00FA27B9">
      <w:pPr>
        <w:pStyle w:val="Heading3"/>
      </w:pPr>
      <w:bookmarkStart w:id="131" w:name="_Ref503489945"/>
      <w:r>
        <w:t>Resource Allocation Field for Fallback DCI</w:t>
      </w:r>
      <w:bookmarkEnd w:id="131"/>
    </w:p>
    <w:p w14:paraId="585B654B" w14:textId="026E9F7A" w:rsidR="00777A30" w:rsidRDefault="00890917" w:rsidP="000378AE">
      <w:pPr>
        <w:rPr>
          <w:lang w:val="en-GB"/>
        </w:rPr>
      </w:pPr>
      <w:r>
        <w:rPr>
          <w:lang w:val="en-GB"/>
        </w:rPr>
        <w:t>Fallback DCI is intended to improve robustness of the system. Fallback DCI carries a smaller payload with only the essential parameters compared to general DCI. UE is expected to monitor fallback DCI for various types of PDCCH in the common search space</w:t>
      </w:r>
      <w:r w:rsidR="004A44AE">
        <w:rPr>
          <w:lang w:val="en-GB"/>
        </w:rPr>
        <w:t xml:space="preserve"> and UE-specific search space.</w:t>
      </w:r>
      <w:r w:rsidR="0017557B">
        <w:rPr>
          <w:lang w:val="en-GB"/>
        </w:rPr>
        <w:t xml:space="preserve"> Also, it has been agreed </w:t>
      </w:r>
      <w:r w:rsidR="00F96FAF">
        <w:rPr>
          <w:lang w:val="en-GB"/>
        </w:rPr>
        <w:t xml:space="preserve">in RAN1 2017 AH3 that DL-scheduling and UL-scheduling fallback DCI should have the same size </w:t>
      </w:r>
      <w:r w:rsidR="00F96FAF">
        <w:rPr>
          <w:lang w:val="en-GB"/>
        </w:rPr>
        <w:fldChar w:fldCharType="begin"/>
      </w:r>
      <w:r w:rsidR="00F96FAF">
        <w:rPr>
          <w:lang w:val="en-GB"/>
        </w:rPr>
        <w:instrText xml:space="preserve"> REF _Ref494542387 \r \h </w:instrText>
      </w:r>
      <w:r w:rsidR="00F96FAF">
        <w:rPr>
          <w:lang w:val="en-GB"/>
        </w:rPr>
      </w:r>
      <w:r w:rsidR="00F96FAF">
        <w:rPr>
          <w:lang w:val="en-GB"/>
        </w:rPr>
        <w:fldChar w:fldCharType="separate"/>
      </w:r>
      <w:r w:rsidR="00685646">
        <w:rPr>
          <w:lang w:val="en-GB"/>
        </w:rPr>
        <w:t>[3]</w:t>
      </w:r>
      <w:r w:rsidR="00F96FAF">
        <w:rPr>
          <w:lang w:val="en-GB"/>
        </w:rPr>
        <w:fldChar w:fldCharType="end"/>
      </w:r>
      <w:r w:rsidR="00F96FAF">
        <w:rPr>
          <w:lang w:val="en-GB"/>
        </w:rPr>
        <w:t xml:space="preserve">; If not, padding is used to make them the same size. </w:t>
      </w:r>
    </w:p>
    <w:p w14:paraId="7F87F4EB" w14:textId="66FFC287" w:rsidR="00890917" w:rsidRDefault="00890917" w:rsidP="000378AE">
      <w:pPr>
        <w:rPr>
          <w:lang w:val="en-GB"/>
        </w:rPr>
      </w:pPr>
      <w:r>
        <w:rPr>
          <w:lang w:val="en-GB"/>
        </w:rPr>
        <w:t xml:space="preserve">Fallback DCI contains the resource allocation (RA) field. For general DCI, the RA field size is dependent on the active BWP. However, for fallback DCI, it is desirable for the DCI size to be </w:t>
      </w:r>
      <w:r w:rsidR="001C03D5">
        <w:rPr>
          <w:lang w:val="en-GB"/>
        </w:rPr>
        <w:t xml:space="preserve">invariant to </w:t>
      </w:r>
      <w:r>
        <w:rPr>
          <w:lang w:val="en-GB"/>
        </w:rPr>
        <w:t xml:space="preserve">active BWP, because this facilitates better robustness. Even if there is a mismatch in gNB’s and UE’s understanding of the currently active BWP, </w:t>
      </w:r>
      <w:r w:rsidR="001C03D5">
        <w:rPr>
          <w:lang w:val="en-GB"/>
        </w:rPr>
        <w:t xml:space="preserve">if </w:t>
      </w:r>
      <w:r w:rsidR="004A44AE">
        <w:rPr>
          <w:lang w:val="en-GB"/>
        </w:rPr>
        <w:t>a</w:t>
      </w:r>
      <w:r w:rsidR="001C03D5">
        <w:rPr>
          <w:lang w:val="en-GB"/>
        </w:rPr>
        <w:t xml:space="preserve"> search space is configured to be identical between BWPs, there is some likelihood that UE can decode the fallback DCI</w:t>
      </w:r>
      <w:r w:rsidR="005E15FB">
        <w:rPr>
          <w:lang w:val="en-GB"/>
        </w:rPr>
        <w:t xml:space="preserve"> </w:t>
      </w:r>
      <w:r w:rsidR="004A44AE">
        <w:rPr>
          <w:lang w:val="en-GB"/>
        </w:rPr>
        <w:t>within the search space with the pre-condition that</w:t>
      </w:r>
      <w:r w:rsidR="005E15FB">
        <w:rPr>
          <w:lang w:val="en-GB"/>
        </w:rPr>
        <w:t xml:space="preserve"> the DCI size is </w:t>
      </w:r>
      <w:r w:rsidR="00DF6AE4">
        <w:rPr>
          <w:lang w:val="en-GB"/>
        </w:rPr>
        <w:t>also</w:t>
      </w:r>
      <w:r w:rsidR="005E15FB">
        <w:rPr>
          <w:lang w:val="en-GB"/>
        </w:rPr>
        <w:t xml:space="preserve"> same.</w:t>
      </w:r>
    </w:p>
    <w:p w14:paraId="2CF8427F" w14:textId="14A6CA86" w:rsidR="001C03D5" w:rsidRDefault="001C03D5" w:rsidP="000378AE">
      <w:pPr>
        <w:rPr>
          <w:lang w:val="en-GB"/>
        </w:rPr>
      </w:pPr>
      <w:r>
        <w:rPr>
          <w:lang w:val="en-GB"/>
        </w:rPr>
        <w:t>There are several options for making RA field size invariant to active BWP:</w:t>
      </w:r>
    </w:p>
    <w:p w14:paraId="105C1D14" w14:textId="77777777" w:rsidR="000072BD" w:rsidRDefault="001C03D5" w:rsidP="000072BD">
      <w:pPr>
        <w:ind w:firstLine="288"/>
        <w:rPr>
          <w:lang w:val="en-GB"/>
        </w:rPr>
      </w:pPr>
      <w:r>
        <w:rPr>
          <w:lang w:val="en-GB"/>
        </w:rPr>
        <w:t>Alt #1</w:t>
      </w:r>
      <w:r w:rsidR="000072BD">
        <w:rPr>
          <w:lang w:val="en-GB"/>
        </w:rPr>
        <w:t>a</w:t>
      </w:r>
      <w:r>
        <w:rPr>
          <w:lang w:val="en-GB"/>
        </w:rPr>
        <w:t>: RA field is sized according to the default BWP</w:t>
      </w:r>
    </w:p>
    <w:p w14:paraId="5DB438EA" w14:textId="6F9B61C9" w:rsidR="001C03D5" w:rsidRDefault="000072BD" w:rsidP="00FA27B9">
      <w:pPr>
        <w:ind w:firstLine="288"/>
        <w:rPr>
          <w:lang w:val="en-GB"/>
        </w:rPr>
      </w:pPr>
      <w:r>
        <w:rPr>
          <w:lang w:val="en-GB"/>
        </w:rPr>
        <w:t>Alt #1b: RA field is sized according to a</w:t>
      </w:r>
      <w:r w:rsidR="001C03D5">
        <w:rPr>
          <w:lang w:val="en-GB"/>
        </w:rPr>
        <w:t xml:space="preserve"> “reference BWP” which is configured</w:t>
      </w:r>
    </w:p>
    <w:p w14:paraId="57DD9E95" w14:textId="72C94E43" w:rsidR="001C03D5" w:rsidRDefault="001C03D5" w:rsidP="00FA27B9">
      <w:pPr>
        <w:ind w:firstLine="288"/>
        <w:rPr>
          <w:lang w:val="en-GB"/>
        </w:rPr>
      </w:pPr>
      <w:r>
        <w:rPr>
          <w:lang w:val="en-GB"/>
        </w:rPr>
        <w:t>Alt #2: RA field is sized according to the maximum bandwidth among all configured BWP</w:t>
      </w:r>
    </w:p>
    <w:p w14:paraId="55FB6752" w14:textId="517C3B36" w:rsidR="001C03D5" w:rsidRDefault="001C03D5" w:rsidP="000378AE">
      <w:pPr>
        <w:rPr>
          <w:lang w:val="en-GB"/>
        </w:rPr>
      </w:pPr>
      <w:r>
        <w:rPr>
          <w:lang w:val="en-GB"/>
        </w:rPr>
        <w:t xml:space="preserve">Alt #2 is not preferred because RA field size </w:t>
      </w:r>
      <w:r w:rsidR="00552300">
        <w:rPr>
          <w:lang w:val="en-GB"/>
        </w:rPr>
        <w:t xml:space="preserve">is </w:t>
      </w:r>
      <w:r>
        <w:rPr>
          <w:lang w:val="en-GB"/>
        </w:rPr>
        <w:t>driven by the largest bandwidth BWP</w:t>
      </w:r>
      <w:r w:rsidR="00552300">
        <w:rPr>
          <w:lang w:val="en-GB"/>
        </w:rPr>
        <w:t xml:space="preserve">, and if the bandwidth disparity among BWP is large, </w:t>
      </w:r>
      <w:r>
        <w:rPr>
          <w:lang w:val="en-GB"/>
        </w:rPr>
        <w:t xml:space="preserve">for the smaller bandwidth BWP, many bits in the RA field would </w:t>
      </w:r>
      <w:r w:rsidR="00552300">
        <w:rPr>
          <w:lang w:val="en-GB"/>
        </w:rPr>
        <w:t xml:space="preserve">not be needed (and would be </w:t>
      </w:r>
      <w:r w:rsidR="00552300">
        <w:rPr>
          <w:lang w:val="en-GB"/>
        </w:rPr>
        <w:lastRenderedPageBreak/>
        <w:t>padded)</w:t>
      </w:r>
      <w:r>
        <w:rPr>
          <w:lang w:val="en-GB"/>
        </w:rPr>
        <w:t xml:space="preserve">. Based on Type1 resource allocation, potentially 7 bits could be wasted in the worst case. This is especially unacceptable for fallback DCI for which minimizing the number of bits in the payload is of </w:t>
      </w:r>
      <w:r w:rsidR="000072BD">
        <w:rPr>
          <w:lang w:val="en-GB"/>
        </w:rPr>
        <w:t>foremost importance.</w:t>
      </w:r>
    </w:p>
    <w:p w14:paraId="62239C17" w14:textId="4E42B903" w:rsidR="000072BD" w:rsidRDefault="000072BD" w:rsidP="000378AE">
      <w:pPr>
        <w:rPr>
          <w:lang w:val="en-GB"/>
        </w:rPr>
      </w:pPr>
      <w:r>
        <w:rPr>
          <w:lang w:val="en-GB"/>
        </w:rPr>
        <w:t xml:space="preserve">Alt #1b is slightly more flexible compared to Alt #1a, with extra complexity in </w:t>
      </w:r>
      <w:r w:rsidR="00552300">
        <w:rPr>
          <w:lang w:val="en-GB"/>
        </w:rPr>
        <w:t xml:space="preserve">RRC </w:t>
      </w:r>
      <w:r>
        <w:rPr>
          <w:lang w:val="en-GB"/>
        </w:rPr>
        <w:t>configuration. The tradeoff for Alt #1a is reasonable</w:t>
      </w:r>
      <w:r w:rsidR="00552300">
        <w:rPr>
          <w:lang w:val="en-GB"/>
        </w:rPr>
        <w:t xml:space="preserve"> and is recommended.</w:t>
      </w:r>
    </w:p>
    <w:p w14:paraId="1F2F3FCF" w14:textId="18AF66F9" w:rsidR="000072BD" w:rsidRDefault="000072BD" w:rsidP="000072BD">
      <w:pPr>
        <w:pStyle w:val="Caption"/>
      </w:pPr>
      <w:bookmarkStart w:id="132" w:name="_Toc503486497"/>
      <w:bookmarkStart w:id="133" w:name="_Toc503488677"/>
      <w:bookmarkStart w:id="134" w:name="_Toc503489511"/>
      <w:bookmarkStart w:id="135" w:name="_Toc503490980"/>
      <w:bookmarkStart w:id="136" w:name="_Toc503491319"/>
      <w:bookmarkStart w:id="137" w:name="_Toc503534863"/>
      <w:bookmarkStart w:id="138" w:name="_Toc503538748"/>
      <w:bookmarkStart w:id="139" w:name="_Toc503539932"/>
      <w:bookmarkStart w:id="140" w:name="_Toc503539998"/>
      <w:bookmarkStart w:id="141" w:name="_Toc503542176"/>
      <w:bookmarkStart w:id="142" w:name="_Toc503545881"/>
      <w:bookmarkStart w:id="143" w:name="_Toc503545897"/>
      <w:bookmarkStart w:id="144" w:name="_Hlk503490657"/>
      <w:bookmarkStart w:id="145" w:name="_Toc503547090"/>
      <w:bookmarkStart w:id="146" w:name="_Toc503547223"/>
      <w:bookmarkStart w:id="147" w:name="_Toc503547802"/>
      <w:bookmarkStart w:id="148" w:name="_Toc503552111"/>
      <w:bookmarkStart w:id="149" w:name="_Toc503553234"/>
      <w:r>
        <w:t xml:space="preserve">Proposal </w:t>
      </w:r>
      <w:r w:rsidR="001E1392">
        <w:fldChar w:fldCharType="begin"/>
      </w:r>
      <w:r w:rsidR="001E1392">
        <w:instrText xml:space="preserve"> SEQ Proposal \* ARABIC </w:instrText>
      </w:r>
      <w:r w:rsidR="001E1392">
        <w:fldChar w:fldCharType="separate"/>
      </w:r>
      <w:r w:rsidR="00685646">
        <w:rPr>
          <w:noProof/>
        </w:rPr>
        <w:t>5</w:t>
      </w:r>
      <w:r w:rsidR="001E1392">
        <w:rPr>
          <w:noProof/>
        </w:rPr>
        <w:fldChar w:fldCharType="end"/>
      </w:r>
      <w:r>
        <w:t xml:space="preserve">: For fallback DCI, the resource allocation </w:t>
      </w:r>
      <w:r w:rsidR="00D85757">
        <w:t xml:space="preserve">(RA) </w:t>
      </w:r>
      <w:r>
        <w:t>field size is determined based on the default BWP. More elaborately</w:t>
      </w:r>
      <w:r w:rsidR="00D85757">
        <w:t>,</w:t>
      </w:r>
      <w:r>
        <w:t xml:space="preserve"> </w:t>
      </w:r>
      <w:r w:rsidR="00D85757">
        <w:t xml:space="preserve">RA field size for DL scheduling DCI (Format 1_0) </w:t>
      </w:r>
      <w:r>
        <w:t xml:space="preserve">corresponds to the default DL BWP; </w:t>
      </w:r>
      <w:r w:rsidR="00D85757">
        <w:t>RA field size for UL scheduling</w:t>
      </w:r>
      <w:r>
        <w:t xml:space="preserve"> </w:t>
      </w:r>
      <w:r w:rsidR="00D85757">
        <w:t xml:space="preserve">DCI (Format 0_0) </w:t>
      </w:r>
      <w:r>
        <w:t xml:space="preserve">corresponds to the </w:t>
      </w:r>
      <w:r w:rsidR="00720C24">
        <w:t>“</w:t>
      </w:r>
      <w:r>
        <w:t>default</w:t>
      </w:r>
      <w:r w:rsidR="00720C24">
        <w:t>”</w:t>
      </w:r>
      <w:r>
        <w:t xml:space="preserve"> UL BWP.</w:t>
      </w:r>
      <w:bookmarkEnd w:id="132"/>
      <w:bookmarkEnd w:id="133"/>
      <w:bookmarkEnd w:id="134"/>
      <w:bookmarkEnd w:id="135"/>
      <w:bookmarkEnd w:id="136"/>
      <w:bookmarkEnd w:id="137"/>
      <w:bookmarkEnd w:id="138"/>
      <w:bookmarkEnd w:id="139"/>
      <w:bookmarkEnd w:id="140"/>
      <w:bookmarkEnd w:id="141"/>
      <w:bookmarkEnd w:id="142"/>
      <w:bookmarkEnd w:id="143"/>
      <w:bookmarkEnd w:id="145"/>
      <w:bookmarkEnd w:id="146"/>
      <w:bookmarkEnd w:id="147"/>
      <w:bookmarkEnd w:id="148"/>
      <w:bookmarkEnd w:id="149"/>
      <w:r w:rsidR="00D85757">
        <w:t xml:space="preserve"> </w:t>
      </w:r>
    </w:p>
    <w:bookmarkEnd w:id="144"/>
    <w:p w14:paraId="7104806F" w14:textId="62FB0DAF" w:rsidR="000072BD" w:rsidRDefault="000072BD" w:rsidP="000072BD">
      <w:r>
        <w:t xml:space="preserve">For paired spectrum, default UL BWP may not be explicitly defined. </w:t>
      </w:r>
      <w:r w:rsidR="00511A36">
        <w:t xml:space="preserve">Section </w:t>
      </w:r>
      <w:r w:rsidR="00511A36">
        <w:fldChar w:fldCharType="begin"/>
      </w:r>
      <w:r w:rsidR="00511A36">
        <w:instrText xml:space="preserve"> REF _Ref503487966 \r \h </w:instrText>
      </w:r>
      <w:r w:rsidR="00511A36">
        <w:fldChar w:fldCharType="separate"/>
      </w:r>
      <w:r w:rsidR="00685646">
        <w:t>2.1.9</w:t>
      </w:r>
      <w:r w:rsidR="00511A36">
        <w:fldChar w:fldCharType="end"/>
      </w:r>
      <w:r w:rsidR="00511A36">
        <w:t xml:space="preserve"> has more discussion on how </w:t>
      </w:r>
      <w:r w:rsidR="00DF6AE4">
        <w:t>this issue</w:t>
      </w:r>
      <w:r w:rsidR="00511A36">
        <w:t xml:space="preserve"> can be </w:t>
      </w:r>
      <w:r w:rsidR="00DF6AE4">
        <w:t>addressed</w:t>
      </w:r>
      <w:r w:rsidR="00511A36">
        <w:t>.</w:t>
      </w:r>
    </w:p>
    <w:p w14:paraId="70628A04" w14:textId="1CE0FD63" w:rsidR="00B17E90" w:rsidRDefault="00B17E90" w:rsidP="000072BD">
      <w:r>
        <w:t xml:space="preserve">Given that fallback DCI’s RA field size is determined based on the default BWP, there is no issue to support fallback DCI for the default BWP. For other BWPs, for the scenario where the default BWP is a subset of </w:t>
      </w:r>
      <w:r w:rsidR="007F43E8">
        <w:t xml:space="preserve">another </w:t>
      </w:r>
      <w:r>
        <w:t>BWP (</w:t>
      </w:r>
      <w:r w:rsidR="007F43E8">
        <w:t>referred as</w:t>
      </w:r>
      <w:r>
        <w:t xml:space="preserve"> BWP x), it is possible that resource allocation interpreted based on the default BWP can be directly mapped, in terms of physical RB locations, to BWP x. Further, if search space is configured to be the same between the default </w:t>
      </w:r>
      <w:r w:rsidR="007047FA">
        <w:t xml:space="preserve">DL </w:t>
      </w:r>
      <w:r>
        <w:t>BWP and BWP x</w:t>
      </w:r>
      <w:r w:rsidR="007047FA">
        <w:t xml:space="preserve"> in the DL direction</w:t>
      </w:r>
      <w:r>
        <w:t>, extra robustness against gNB and UE active BWP out-of-sync is assured.</w:t>
      </w:r>
      <w:r w:rsidR="002361C8">
        <w:t xml:space="preserve"> An example for the scenario is illustrated: </w:t>
      </w:r>
      <w:r w:rsidR="00C27A94">
        <w:t>BWP1 is configured as the default BWP. F</w:t>
      </w:r>
      <w:r w:rsidR="002361C8">
        <w:t>allback DCI is supported for</w:t>
      </w:r>
      <w:r w:rsidR="009B59FD">
        <w:t xml:space="preserve"> one of the search space (left) in</w:t>
      </w:r>
      <w:r w:rsidR="002361C8">
        <w:t xml:space="preserve"> BWP2 because </w:t>
      </w:r>
      <w:r w:rsidR="00C27A94">
        <w:t>it</w:t>
      </w:r>
      <w:r w:rsidR="002361C8">
        <w:t xml:space="preserve"> is the same</w:t>
      </w:r>
      <w:r w:rsidR="00C27A94">
        <w:t xml:space="preserve"> as the one in BWP1</w:t>
      </w:r>
      <w:r w:rsidR="002361C8">
        <w:t xml:space="preserve">, and BWP1 is nested within </w:t>
      </w:r>
      <w:r w:rsidR="00C27A94">
        <w:t>BWP2</w:t>
      </w:r>
      <w:r w:rsidR="002361C8">
        <w:t>.</w:t>
      </w:r>
      <w:r w:rsidR="009B59FD">
        <w:t xml:space="preserve"> Fallback DCI is not supported for another search space (right) in BWP2 because there is not a corresponding search space in BWP1 that is the same.</w:t>
      </w:r>
    </w:p>
    <w:p w14:paraId="1F8F813A" w14:textId="0A21914C" w:rsidR="00533ED3" w:rsidRDefault="00450D15" w:rsidP="00FA27B9">
      <w:pPr>
        <w:jc w:val="center"/>
      </w:pPr>
      <w:r w:rsidRPr="00450D15">
        <w:drawing>
          <wp:inline distT="0" distB="0" distL="0" distR="0" wp14:anchorId="22391005" wp14:editId="5D00ECC8">
            <wp:extent cx="2788920" cy="17830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88920" cy="1783080"/>
                    </a:xfrm>
                    <a:prstGeom prst="rect">
                      <a:avLst/>
                    </a:prstGeom>
                  </pic:spPr>
                </pic:pic>
              </a:graphicData>
            </a:graphic>
          </wp:inline>
        </w:drawing>
      </w:r>
    </w:p>
    <w:p w14:paraId="2BC92623" w14:textId="6DB0720D" w:rsidR="002361C8" w:rsidRDefault="00B17E90" w:rsidP="00FA27B9">
      <w:r>
        <w:t xml:space="preserve">For the scenario where the default BWP is disjoint with or </w:t>
      </w:r>
      <w:r w:rsidR="00DF6AE4">
        <w:t>only partially overlapping</w:t>
      </w:r>
      <w:r>
        <w:t xml:space="preserve"> with another BWP (i.e. BWP </w:t>
      </w:r>
      <w:r w:rsidR="007F43E8">
        <w:t>y</w:t>
      </w:r>
      <w:r>
        <w:t>)</w:t>
      </w:r>
      <w:r w:rsidR="003E7CB1">
        <w:t xml:space="preserve"> in terms of frequency range</w:t>
      </w:r>
      <w:r>
        <w:t>, it may not be feasible to configure the same search space across the BWP</w:t>
      </w:r>
      <w:r w:rsidR="007047FA">
        <w:t xml:space="preserve"> in the DL direction</w:t>
      </w:r>
      <w:r>
        <w:t xml:space="preserve">. The </w:t>
      </w:r>
      <w:r w:rsidR="005E15FB">
        <w:t>use case</w:t>
      </w:r>
      <w:r>
        <w:t xml:space="preserve"> of fallback DCI for BWP </w:t>
      </w:r>
      <w:r w:rsidR="003E7CB1">
        <w:t>y</w:t>
      </w:r>
      <w:r>
        <w:t xml:space="preserve"> is not obvious: If </w:t>
      </w:r>
      <w:r w:rsidR="003E7CB1">
        <w:t>link budget becomes challenging</w:t>
      </w:r>
      <w:r>
        <w:t xml:space="preserve">, </w:t>
      </w:r>
      <w:r w:rsidR="007F43E8">
        <w:t xml:space="preserve">gNB and UE should operate on the </w:t>
      </w:r>
      <w:r>
        <w:t>default BWP (presumably with narrow bandwidth)</w:t>
      </w:r>
      <w:r w:rsidR="007F43E8">
        <w:t>, where it would have fallback DCI support. Therefore, for this scenario</w:t>
      </w:r>
      <w:r w:rsidR="003E7CB1">
        <w:t xml:space="preserve">, it is recommended that </w:t>
      </w:r>
      <w:r w:rsidR="007F43E8">
        <w:t>fallback DCI is not supported for BWP y.</w:t>
      </w:r>
    </w:p>
    <w:p w14:paraId="25143E35" w14:textId="24AD90B5" w:rsidR="00450D15" w:rsidRDefault="00450D15" w:rsidP="00FA27B9">
      <w:r>
        <w:t>In the following, two examples for no support for fallback DCI in BWP2 are shown:</w:t>
      </w:r>
    </w:p>
    <w:tbl>
      <w:tblPr>
        <w:tblStyle w:val="TableGrid"/>
        <w:tblW w:w="0" w:type="auto"/>
        <w:tblLook w:val="04A0" w:firstRow="1" w:lastRow="0" w:firstColumn="1" w:lastColumn="0" w:noHBand="0" w:noVBand="1"/>
      </w:tblPr>
      <w:tblGrid>
        <w:gridCol w:w="4814"/>
        <w:gridCol w:w="4814"/>
      </w:tblGrid>
      <w:tr w:rsidR="00450D15" w14:paraId="6A7F2ABD" w14:textId="77777777" w:rsidTr="00450D15">
        <w:tc>
          <w:tcPr>
            <w:tcW w:w="4814" w:type="dxa"/>
          </w:tcPr>
          <w:p w14:paraId="6F3CA283" w14:textId="7F20A8E1" w:rsidR="00450D15" w:rsidRDefault="00450D15" w:rsidP="00FA27B9">
            <w:r>
              <w:t>Search space / CORESET not configured to be the same</w:t>
            </w:r>
          </w:p>
          <w:p w14:paraId="7B9DF704" w14:textId="53549749" w:rsidR="00450D15" w:rsidRDefault="00450D15" w:rsidP="00FA27B9">
            <w:r>
              <w:rPr>
                <w:noProof/>
              </w:rPr>
              <w:drawing>
                <wp:inline distT="0" distB="0" distL="0" distR="0" wp14:anchorId="552B888A" wp14:editId="175C8EBE">
                  <wp:extent cx="2020824" cy="1252728"/>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20824" cy="1252728"/>
                          </a:xfrm>
                          <a:prstGeom prst="rect">
                            <a:avLst/>
                          </a:prstGeom>
                        </pic:spPr>
                      </pic:pic>
                    </a:graphicData>
                  </a:graphic>
                </wp:inline>
              </w:drawing>
            </w:r>
          </w:p>
        </w:tc>
        <w:tc>
          <w:tcPr>
            <w:tcW w:w="4814" w:type="dxa"/>
          </w:tcPr>
          <w:p w14:paraId="64EA716A" w14:textId="6D8829BB" w:rsidR="00450D15" w:rsidRDefault="00450D15" w:rsidP="00450D15">
            <w:r>
              <w:t>BWP are disjoint (or only partially overlapping)</w:t>
            </w:r>
          </w:p>
          <w:p w14:paraId="761A5015" w14:textId="21DA077D" w:rsidR="00450D15" w:rsidRDefault="00450D15" w:rsidP="00091C9C">
            <w:r>
              <w:rPr>
                <w:noProof/>
              </w:rPr>
              <w:drawing>
                <wp:inline distT="0" distB="0" distL="0" distR="0" wp14:anchorId="67993371" wp14:editId="4B4D4D60">
                  <wp:extent cx="2286000" cy="1252728"/>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86000" cy="1252728"/>
                          </a:xfrm>
                          <a:prstGeom prst="rect">
                            <a:avLst/>
                          </a:prstGeom>
                        </pic:spPr>
                      </pic:pic>
                    </a:graphicData>
                  </a:graphic>
                </wp:inline>
              </w:drawing>
            </w:r>
          </w:p>
        </w:tc>
      </w:tr>
    </w:tbl>
    <w:p w14:paraId="73D0EE0A" w14:textId="77777777" w:rsidR="00450D15" w:rsidRDefault="00450D15" w:rsidP="00FA27B9"/>
    <w:p w14:paraId="480BB00D" w14:textId="0097BBF6" w:rsidR="007F43E8" w:rsidRDefault="003E7CB1" w:rsidP="00FA27B9">
      <w:pPr>
        <w:pStyle w:val="Caption"/>
      </w:pPr>
      <w:bookmarkStart w:id="150" w:name="_Toc503486498"/>
      <w:bookmarkStart w:id="151" w:name="_Toc503488678"/>
      <w:bookmarkStart w:id="152" w:name="_Toc503489512"/>
      <w:bookmarkStart w:id="153" w:name="_Toc503490981"/>
      <w:bookmarkStart w:id="154" w:name="_Toc503491320"/>
      <w:bookmarkStart w:id="155" w:name="_Toc503534864"/>
      <w:bookmarkStart w:id="156" w:name="_Toc503538749"/>
      <w:bookmarkStart w:id="157" w:name="_Toc503539933"/>
      <w:bookmarkStart w:id="158" w:name="_Toc503539999"/>
      <w:bookmarkStart w:id="159" w:name="_Toc503542177"/>
      <w:bookmarkStart w:id="160" w:name="_Toc503545882"/>
      <w:bookmarkStart w:id="161" w:name="_Toc503545898"/>
      <w:bookmarkStart w:id="162" w:name="_Hlk503490668"/>
      <w:bookmarkStart w:id="163" w:name="_Toc503547091"/>
      <w:bookmarkStart w:id="164" w:name="_Toc503547224"/>
      <w:bookmarkStart w:id="165" w:name="_Toc503547803"/>
      <w:bookmarkStart w:id="166" w:name="_Toc503552112"/>
      <w:bookmarkStart w:id="167" w:name="_Toc503553235"/>
      <w:r>
        <w:t xml:space="preserve">Proposal </w:t>
      </w:r>
      <w:r w:rsidR="001E1392">
        <w:fldChar w:fldCharType="begin"/>
      </w:r>
      <w:r w:rsidR="001E1392">
        <w:instrText xml:space="preserve"> SEQ Proposal \* ARABIC </w:instrText>
      </w:r>
      <w:r w:rsidR="001E1392">
        <w:fldChar w:fldCharType="separate"/>
      </w:r>
      <w:r w:rsidR="00685646">
        <w:rPr>
          <w:noProof/>
        </w:rPr>
        <w:t>6</w:t>
      </w:r>
      <w:r w:rsidR="001E1392">
        <w:rPr>
          <w:noProof/>
        </w:rPr>
        <w:fldChar w:fldCharType="end"/>
      </w:r>
      <w:r>
        <w:t xml:space="preserve">: Fallback DCI </w:t>
      </w:r>
      <w:r w:rsidR="007047FA">
        <w:t xml:space="preserve">for DL/UL scheduling </w:t>
      </w:r>
      <w:r>
        <w:t xml:space="preserve">is supported only for the </w:t>
      </w:r>
      <w:r w:rsidR="007047FA">
        <w:t xml:space="preserve">DL/UL </w:t>
      </w:r>
      <w:r>
        <w:t xml:space="preserve">BWP satisfying the following conditions: (a) If the default </w:t>
      </w:r>
      <w:r w:rsidR="007047FA">
        <w:t xml:space="preserve">DL/UL </w:t>
      </w:r>
      <w:r>
        <w:t xml:space="preserve">BWP is a subset of the </w:t>
      </w:r>
      <w:r w:rsidR="007047FA">
        <w:t xml:space="preserve">DL/UL </w:t>
      </w:r>
      <w:r>
        <w:t>BWP</w:t>
      </w:r>
      <w:r w:rsidR="005D2557">
        <w:t xml:space="preserve"> respectively in terms of</w:t>
      </w:r>
      <w:r>
        <w:t xml:space="preserve"> frequency range, and (b) if </w:t>
      </w:r>
      <w:r w:rsidR="007047FA">
        <w:t xml:space="preserve">the </w:t>
      </w:r>
      <w:r>
        <w:t xml:space="preserve">search space configured in the </w:t>
      </w:r>
      <w:r w:rsidR="007047FA">
        <w:t xml:space="preserve">DL </w:t>
      </w:r>
      <w:r>
        <w:t>BWP</w:t>
      </w:r>
      <w:r w:rsidR="007047FA">
        <w:t xml:space="preserve"> is the same as the search space of the default DL BWP.</w:t>
      </w:r>
      <w:bookmarkEnd w:id="150"/>
      <w:bookmarkEnd w:id="151"/>
      <w:bookmarkEnd w:id="152"/>
      <w:bookmarkEnd w:id="153"/>
      <w:bookmarkEnd w:id="154"/>
      <w:bookmarkEnd w:id="155"/>
      <w:bookmarkEnd w:id="156"/>
      <w:bookmarkEnd w:id="157"/>
      <w:bookmarkEnd w:id="158"/>
      <w:bookmarkEnd w:id="159"/>
      <w:bookmarkEnd w:id="160"/>
      <w:bookmarkEnd w:id="161"/>
      <w:bookmarkEnd w:id="163"/>
      <w:bookmarkEnd w:id="164"/>
      <w:bookmarkEnd w:id="165"/>
      <w:bookmarkEnd w:id="166"/>
      <w:bookmarkEnd w:id="167"/>
    </w:p>
    <w:p w14:paraId="785DCB26" w14:textId="22E4F93F" w:rsidR="007F43E8" w:rsidRPr="00FA27B9" w:rsidRDefault="003E7CB1" w:rsidP="00FA27B9">
      <w:pPr>
        <w:pStyle w:val="Caption"/>
      </w:pPr>
      <w:bookmarkStart w:id="168" w:name="_Toc503486499"/>
      <w:bookmarkStart w:id="169" w:name="_Toc503488679"/>
      <w:bookmarkStart w:id="170" w:name="_Toc503489513"/>
      <w:bookmarkStart w:id="171" w:name="_Toc503490982"/>
      <w:bookmarkStart w:id="172" w:name="_Toc503491321"/>
      <w:bookmarkStart w:id="173" w:name="_Toc503534865"/>
      <w:bookmarkStart w:id="174" w:name="_Toc503538750"/>
      <w:bookmarkStart w:id="175" w:name="_Toc503539934"/>
      <w:bookmarkStart w:id="176" w:name="_Toc503540000"/>
      <w:bookmarkStart w:id="177" w:name="_Toc503542178"/>
      <w:bookmarkStart w:id="178" w:name="_Toc503545883"/>
      <w:bookmarkStart w:id="179" w:name="_Toc503545899"/>
      <w:bookmarkStart w:id="180" w:name="_Toc503547092"/>
      <w:bookmarkStart w:id="181" w:name="_Toc503547225"/>
      <w:bookmarkStart w:id="182" w:name="_Toc503547804"/>
      <w:bookmarkStart w:id="183" w:name="_Toc503552113"/>
      <w:bookmarkStart w:id="184" w:name="_Toc503553236"/>
      <w:r>
        <w:lastRenderedPageBreak/>
        <w:t xml:space="preserve">Proposal </w:t>
      </w:r>
      <w:r w:rsidR="001E1392">
        <w:fldChar w:fldCharType="begin"/>
      </w:r>
      <w:r w:rsidR="001E1392">
        <w:instrText xml:space="preserve"> SEQ Proposal \* ARABIC </w:instrText>
      </w:r>
      <w:r w:rsidR="001E1392">
        <w:fldChar w:fldCharType="separate"/>
      </w:r>
      <w:r w:rsidR="00685646">
        <w:rPr>
          <w:noProof/>
        </w:rPr>
        <w:t>7</w:t>
      </w:r>
      <w:r w:rsidR="001E1392">
        <w:rPr>
          <w:noProof/>
        </w:rPr>
        <w:fldChar w:fldCharType="end"/>
      </w:r>
      <w:r>
        <w:t xml:space="preserve">: If fallback DCI is supported </w:t>
      </w:r>
      <w:r w:rsidR="007047FA">
        <w:t xml:space="preserve">for </w:t>
      </w:r>
      <w:r>
        <w:t>a BWP other than the default BWP, the resource allocation field is interpreted based on the default BWP. The physical resource block allocation is directly mapped to the BWP.</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bookmarkEnd w:id="162"/>
    <w:p w14:paraId="1E5534F3" w14:textId="77777777" w:rsidR="000378AE" w:rsidRPr="00A139E2" w:rsidRDefault="000378AE" w:rsidP="00FA27B9"/>
    <w:p w14:paraId="55E07A7F" w14:textId="5D530AD0" w:rsidR="00E20ED1" w:rsidRPr="002B15CF" w:rsidRDefault="00E20ED1" w:rsidP="00E20ED1">
      <w:pPr>
        <w:pStyle w:val="Heading3"/>
      </w:pPr>
      <w:bookmarkStart w:id="185" w:name="_Ref503286478"/>
      <w:r>
        <w:t xml:space="preserve">BWP </w:t>
      </w:r>
      <w:r w:rsidR="00724D60">
        <w:t>Switching DCI</w:t>
      </w:r>
      <w:r>
        <w:t xml:space="preserve"> without Scheduling</w:t>
      </w:r>
      <w:bookmarkEnd w:id="86"/>
      <w:bookmarkEnd w:id="185"/>
    </w:p>
    <w:p w14:paraId="1FC83C4C" w14:textId="00168571" w:rsidR="00E20ED1" w:rsidRDefault="00E20ED1" w:rsidP="00E20ED1">
      <w:pPr>
        <w:rPr>
          <w:lang w:val="en-GB"/>
        </w:rPr>
      </w:pPr>
      <w:r>
        <w:rPr>
          <w:lang w:val="en-GB"/>
        </w:rPr>
        <w:t xml:space="preserve">In RAN1 NR AH#3, the following agreement was made </w:t>
      </w:r>
      <w:r>
        <w:rPr>
          <w:lang w:val="en-GB"/>
        </w:rPr>
        <w:fldChar w:fldCharType="begin"/>
      </w:r>
      <w:r>
        <w:rPr>
          <w:lang w:val="en-GB"/>
        </w:rPr>
        <w:instrText xml:space="preserve"> REF _Ref494542387 \r \h </w:instrText>
      </w:r>
      <w:r>
        <w:rPr>
          <w:lang w:val="en-GB"/>
        </w:rPr>
      </w:r>
      <w:r>
        <w:rPr>
          <w:lang w:val="en-GB"/>
        </w:rPr>
        <w:fldChar w:fldCharType="separate"/>
      </w:r>
      <w:r w:rsidR="00685646">
        <w:rPr>
          <w:lang w:val="en-GB"/>
        </w:rPr>
        <w:t>[3]</w:t>
      </w:r>
      <w:r>
        <w:rPr>
          <w:lang w:val="en-GB"/>
        </w:rPr>
        <w:fldChar w:fldCharType="end"/>
      </w:r>
      <w:r>
        <w:rPr>
          <w:lang w:val="en-GB"/>
        </w:rPr>
        <w:t>:</w:t>
      </w:r>
    </w:p>
    <w:p w14:paraId="5FBDE123" w14:textId="77777777" w:rsidR="00E20ED1" w:rsidRDefault="00E20ED1" w:rsidP="00E20ED1">
      <w:pPr>
        <w:numPr>
          <w:ilvl w:val="0"/>
          <w:numId w:val="5"/>
        </w:numPr>
        <w:tabs>
          <w:tab w:val="left" w:pos="720"/>
        </w:tabs>
        <w:overflowPunct/>
        <w:autoSpaceDE/>
        <w:autoSpaceDN/>
        <w:adjustRightInd/>
        <w:spacing w:after="0"/>
        <w:textAlignment w:val="auto"/>
      </w:pPr>
      <w:r w:rsidRPr="00F44E32">
        <w:t>NR supports the case that a single scheduling DCI can switch the UE’s active BWP from one to another (of the same link direction) within a given serving cell</w:t>
      </w:r>
    </w:p>
    <w:p w14:paraId="1272D808" w14:textId="77777777" w:rsidR="00E20ED1" w:rsidRDefault="00E20ED1" w:rsidP="00E20ED1">
      <w:pPr>
        <w:numPr>
          <w:ilvl w:val="1"/>
          <w:numId w:val="5"/>
        </w:numPr>
        <w:tabs>
          <w:tab w:val="left" w:pos="720"/>
        </w:tabs>
        <w:overflowPunct/>
        <w:autoSpaceDE/>
        <w:autoSpaceDN/>
        <w:adjustRightInd/>
        <w:spacing w:after="0"/>
        <w:textAlignment w:val="auto"/>
      </w:pPr>
      <w:r w:rsidRPr="00782A37">
        <w:rPr>
          <w:highlight w:val="yellow"/>
          <w:lang w:eastAsia="zh-TW"/>
        </w:rPr>
        <w:t>FFS whether &amp; how for active BWP switching only without scheduling</w:t>
      </w:r>
      <w:r w:rsidRPr="00F44E32">
        <w:rPr>
          <w:lang w:eastAsia="zh-TW"/>
        </w:rPr>
        <w:t xml:space="preserve"> (including the case of UL scheduling without UL-SCH)</w:t>
      </w:r>
    </w:p>
    <w:p w14:paraId="5AD655FD" w14:textId="77777777" w:rsidR="00E20ED1" w:rsidRDefault="00E20ED1" w:rsidP="00E20ED1">
      <w:pPr>
        <w:rPr>
          <w:lang w:val="en-GB"/>
        </w:rPr>
      </w:pPr>
    </w:p>
    <w:p w14:paraId="0069D959" w14:textId="4809D121" w:rsidR="003E60F4" w:rsidRDefault="003E60F4" w:rsidP="003E60F4">
      <w:pPr>
        <w:rPr>
          <w:lang w:val="en-GB"/>
        </w:rPr>
      </w:pPr>
      <w:r>
        <w:rPr>
          <w:lang w:val="en-GB"/>
        </w:rPr>
        <w:t>During offline discussion in RAN1 #90bis</w:t>
      </w:r>
      <w:r w:rsidR="00EC6FB4">
        <w:rPr>
          <w:lang w:val="en-GB"/>
        </w:rPr>
        <w:t xml:space="preserve"> </w:t>
      </w:r>
      <w:r w:rsidR="00EC6FB4">
        <w:rPr>
          <w:lang w:val="en-GB"/>
        </w:rPr>
        <w:fldChar w:fldCharType="begin"/>
      </w:r>
      <w:r w:rsidR="00EC6FB4">
        <w:rPr>
          <w:lang w:val="en-GB"/>
        </w:rPr>
        <w:instrText xml:space="preserve"> REF _Ref503534899 \r \h </w:instrText>
      </w:r>
      <w:r w:rsidR="00EC6FB4">
        <w:rPr>
          <w:lang w:val="en-GB"/>
        </w:rPr>
      </w:r>
      <w:r w:rsidR="00EC6FB4">
        <w:rPr>
          <w:lang w:val="en-GB"/>
        </w:rPr>
        <w:fldChar w:fldCharType="separate"/>
      </w:r>
      <w:r w:rsidR="00685646">
        <w:rPr>
          <w:lang w:val="en-GB"/>
        </w:rPr>
        <w:t>[4]</w:t>
      </w:r>
      <w:r w:rsidR="00EC6FB4">
        <w:rPr>
          <w:lang w:val="en-GB"/>
        </w:rPr>
        <w:fldChar w:fldCharType="end"/>
      </w:r>
      <w:r>
        <w:rPr>
          <w:lang w:val="en-GB"/>
        </w:rPr>
        <w:t xml:space="preserve">, the following draft proposal had been proposed and </w:t>
      </w:r>
      <w:r w:rsidR="00603DBD">
        <w:rPr>
          <w:lang w:val="en-GB"/>
        </w:rPr>
        <w:t>discussion should resume using this as a starting point</w:t>
      </w:r>
      <w:r>
        <w:rPr>
          <w:lang w:val="en-GB"/>
        </w:rPr>
        <w:t>:</w:t>
      </w:r>
    </w:p>
    <w:p w14:paraId="77C3E9E5" w14:textId="77777777" w:rsidR="003E60F4" w:rsidRPr="0007344B" w:rsidRDefault="003E60F4" w:rsidP="003E60F4">
      <w:pPr>
        <w:pStyle w:val="ListParagraph"/>
        <w:numPr>
          <w:ilvl w:val="0"/>
          <w:numId w:val="28"/>
        </w:numPr>
      </w:pPr>
      <w:r w:rsidRPr="0007344B">
        <w:t>Support scheduling DCI with “zero” assignment (i.e. without scheduling downlink or uplink transmission) for active DL/UL BWP switching</w:t>
      </w:r>
    </w:p>
    <w:p w14:paraId="31F0E9BC" w14:textId="714DF047" w:rsidR="003E60F4" w:rsidRPr="0007344B" w:rsidRDefault="003E60F4" w:rsidP="003E60F4">
      <w:pPr>
        <w:pStyle w:val="ListParagraph"/>
        <w:numPr>
          <w:ilvl w:val="1"/>
          <w:numId w:val="28"/>
        </w:numPr>
      </w:pPr>
      <w:r w:rsidRPr="0007344B">
        <w:t>For DL scheduling DCI, UE is expected to send positive HARQ-ACK for zero-size PDSCH transmission</w:t>
      </w:r>
    </w:p>
    <w:p w14:paraId="7F6E95F3" w14:textId="77777777" w:rsidR="003E60F4" w:rsidRDefault="003E60F4" w:rsidP="00E20ED1">
      <w:pPr>
        <w:rPr>
          <w:lang w:val="en-GB"/>
        </w:rPr>
      </w:pPr>
    </w:p>
    <w:p w14:paraId="077C8CE2" w14:textId="4240E0BC" w:rsidR="00E20ED1" w:rsidRDefault="007C5C75" w:rsidP="00E20ED1">
      <w:pPr>
        <w:rPr>
          <w:lang w:val="en-GB"/>
        </w:rPr>
      </w:pPr>
      <w:r>
        <w:rPr>
          <w:lang w:val="en-GB"/>
        </w:rPr>
        <w:t>Use of a single scheduling DCI to trigger BWP switching had been agreed. It is efficient when channel information about the new BWP is already known</w:t>
      </w:r>
      <w:r w:rsidR="006A4C6C">
        <w:rPr>
          <w:lang w:val="en-GB"/>
        </w:rPr>
        <w:t xml:space="preserve"> (</w:t>
      </w:r>
      <w:r>
        <w:rPr>
          <w:lang w:val="en-GB"/>
        </w:rPr>
        <w:t xml:space="preserve">either by </w:t>
      </w:r>
      <w:r w:rsidR="006A4C6C">
        <w:rPr>
          <w:lang w:val="en-GB"/>
        </w:rPr>
        <w:t>estimating based on</w:t>
      </w:r>
      <w:r>
        <w:rPr>
          <w:lang w:val="en-GB"/>
        </w:rPr>
        <w:t xml:space="preserve"> the current BWP</w:t>
      </w:r>
      <w:r w:rsidR="006A4C6C">
        <w:rPr>
          <w:lang w:val="en-GB"/>
        </w:rPr>
        <w:t xml:space="preserve"> if the BWPs are overlaping</w:t>
      </w:r>
      <w:r>
        <w:rPr>
          <w:lang w:val="en-GB"/>
        </w:rPr>
        <w:t xml:space="preserve"> </w:t>
      </w:r>
      <w:r w:rsidR="00656FA1">
        <w:rPr>
          <w:lang w:val="en-GB"/>
        </w:rPr>
        <w:t xml:space="preserve">in frequency </w:t>
      </w:r>
      <w:r>
        <w:rPr>
          <w:lang w:val="en-GB"/>
        </w:rPr>
        <w:t xml:space="preserve">or based on prior CSI measurement result which has not </w:t>
      </w:r>
      <w:r w:rsidR="00656FA1">
        <w:rPr>
          <w:lang w:val="en-GB"/>
        </w:rPr>
        <w:t>become out-of-date</w:t>
      </w:r>
      <w:r w:rsidR="006A4C6C">
        <w:rPr>
          <w:lang w:val="en-GB"/>
        </w:rPr>
        <w:t>),</w:t>
      </w:r>
      <w:r w:rsidR="001632B7">
        <w:rPr>
          <w:lang w:val="en-GB"/>
        </w:rPr>
        <w:t xml:space="preserve"> and scheduling in the new BWP and triggering of BWP switching can be signalled in DCI in one shot</w:t>
      </w:r>
      <w:r>
        <w:rPr>
          <w:lang w:val="en-GB"/>
        </w:rPr>
        <w:t>. However, t</w:t>
      </w:r>
      <w:r w:rsidR="00E20ED1">
        <w:rPr>
          <w:lang w:val="en-GB"/>
        </w:rPr>
        <w:t xml:space="preserve">here are other use cases where a DCI for </w:t>
      </w:r>
      <w:r w:rsidR="00EC2A06">
        <w:rPr>
          <w:lang w:val="en-GB"/>
        </w:rPr>
        <w:t xml:space="preserve">BWP </w:t>
      </w:r>
      <w:r w:rsidR="00E20ED1">
        <w:rPr>
          <w:lang w:val="en-GB"/>
        </w:rPr>
        <w:t>switching</w:t>
      </w:r>
      <w:r w:rsidR="00EC2A06">
        <w:rPr>
          <w:lang w:val="en-GB"/>
        </w:rPr>
        <w:t xml:space="preserve"> without scheduling </w:t>
      </w:r>
      <w:r w:rsidR="00E20ED1">
        <w:rPr>
          <w:lang w:val="en-GB"/>
        </w:rPr>
        <w:t xml:space="preserve">would be </w:t>
      </w:r>
      <w:r>
        <w:rPr>
          <w:lang w:val="en-GB"/>
        </w:rPr>
        <w:t>crucial for efficient and robust system operation</w:t>
      </w:r>
      <w:r w:rsidR="00E20ED1">
        <w:rPr>
          <w:lang w:val="en-GB"/>
        </w:rPr>
        <w:t xml:space="preserve">. If UE does not have </w:t>
      </w:r>
      <w:r>
        <w:rPr>
          <w:lang w:val="en-GB"/>
        </w:rPr>
        <w:t xml:space="preserve">accurate </w:t>
      </w:r>
      <w:r w:rsidR="00E20ED1">
        <w:rPr>
          <w:lang w:val="en-GB"/>
        </w:rPr>
        <w:t xml:space="preserve">CQI information on a </w:t>
      </w:r>
      <w:r>
        <w:rPr>
          <w:lang w:val="en-GB"/>
        </w:rPr>
        <w:t xml:space="preserve">new </w:t>
      </w:r>
      <w:r w:rsidR="00E20ED1">
        <w:rPr>
          <w:lang w:val="en-GB"/>
        </w:rPr>
        <w:t xml:space="preserve">BWP, it would </w:t>
      </w:r>
      <w:r w:rsidR="006A4C6C">
        <w:rPr>
          <w:lang w:val="en-GB"/>
        </w:rPr>
        <w:t xml:space="preserve">make more sense procedural-wise </w:t>
      </w:r>
      <w:r w:rsidR="00E20ED1">
        <w:rPr>
          <w:lang w:val="en-GB"/>
        </w:rPr>
        <w:t xml:space="preserve">for UE to switch to the new BWP, perform CSI measurement and feedback, and then gNB can schedule to the UE based on an up-to-date CQI. </w:t>
      </w:r>
      <w:r w:rsidR="00EC2A06">
        <w:rPr>
          <w:lang w:val="en-GB"/>
        </w:rPr>
        <w:t>This would avoid gNB scheduling to the UE based on inaccurate channel information, resulting in waste of system resources if decoding does not pass even after retransmissions.</w:t>
      </w:r>
    </w:p>
    <w:p w14:paraId="6554F009" w14:textId="53ECA17F" w:rsidR="00D14DE5" w:rsidRDefault="00EC2A06" w:rsidP="00FE2A5B">
      <w:pPr>
        <w:rPr>
          <w:lang w:val="en-GB"/>
        </w:rPr>
      </w:pPr>
      <w:r>
        <w:rPr>
          <w:lang w:val="en-GB"/>
        </w:rPr>
        <w:t xml:space="preserve">To avoid adding another DCI format, </w:t>
      </w:r>
      <w:r w:rsidR="00E20ED1">
        <w:rPr>
          <w:lang w:val="en-GB"/>
        </w:rPr>
        <w:t xml:space="preserve">reuse of a scheduling DCI with </w:t>
      </w:r>
      <w:r>
        <w:rPr>
          <w:lang w:val="en-GB"/>
        </w:rPr>
        <w:t xml:space="preserve">“zero” assignment </w:t>
      </w:r>
      <w:r w:rsidR="005D2557">
        <w:rPr>
          <w:lang w:val="en-GB"/>
        </w:rPr>
        <w:t>or zero-RA (resource allocation</w:t>
      </w:r>
      <w:r>
        <w:rPr>
          <w:lang w:val="en-GB"/>
        </w:rPr>
        <w:t xml:space="preserve">) </w:t>
      </w:r>
      <w:r w:rsidR="00E20ED1">
        <w:rPr>
          <w:lang w:val="en-GB"/>
        </w:rPr>
        <w:t xml:space="preserve">could be considered. </w:t>
      </w:r>
      <w:r>
        <w:rPr>
          <w:lang w:val="en-GB"/>
        </w:rPr>
        <w:t xml:space="preserve">It can </w:t>
      </w:r>
      <w:r w:rsidR="00E20ED1">
        <w:rPr>
          <w:lang w:val="en-GB"/>
        </w:rPr>
        <w:t xml:space="preserve">be constructed by </w:t>
      </w:r>
      <w:r>
        <w:rPr>
          <w:lang w:val="en-GB"/>
        </w:rPr>
        <w:t xml:space="preserve">setting the </w:t>
      </w:r>
      <w:r w:rsidR="00E20ED1">
        <w:rPr>
          <w:lang w:val="en-GB"/>
        </w:rPr>
        <w:t>resource allocation field</w:t>
      </w:r>
      <w:r>
        <w:rPr>
          <w:lang w:val="en-GB"/>
        </w:rPr>
        <w:t xml:space="preserve"> to all 0’s in binary for Type0 allocation, and to all 1’s in binary</w:t>
      </w:r>
      <w:r w:rsidR="00CC4401">
        <w:rPr>
          <w:lang w:val="en-GB"/>
        </w:rPr>
        <w:t xml:space="preserve"> (which is invalid)</w:t>
      </w:r>
      <w:r>
        <w:rPr>
          <w:lang w:val="en-GB"/>
        </w:rPr>
        <w:t xml:space="preserve"> for Type1 allocation</w:t>
      </w:r>
      <w:r w:rsidR="00E20ED1">
        <w:rPr>
          <w:lang w:val="en-GB"/>
        </w:rPr>
        <w:t xml:space="preserve">. </w:t>
      </w:r>
      <w:r w:rsidR="005D2557">
        <w:rPr>
          <w:lang w:val="en-GB"/>
        </w:rPr>
        <w:t xml:space="preserve">Other use cases for scheduling DCI with zero-RA </w:t>
      </w:r>
      <w:r>
        <w:rPr>
          <w:lang w:val="en-GB"/>
        </w:rPr>
        <w:t>are discussed in our companion contribution</w:t>
      </w:r>
      <w:r w:rsidR="005D2557">
        <w:rPr>
          <w:lang w:val="en-GB"/>
        </w:rPr>
        <w:t xml:space="preserve"> </w:t>
      </w:r>
      <w:r w:rsidR="005D2557">
        <w:rPr>
          <w:lang w:val="en-GB"/>
        </w:rPr>
        <w:fldChar w:fldCharType="begin"/>
      </w:r>
      <w:r w:rsidR="005D2557">
        <w:rPr>
          <w:lang w:val="en-GB"/>
        </w:rPr>
        <w:instrText xml:space="preserve"> REF _Ref503536992 \r \h </w:instrText>
      </w:r>
      <w:r w:rsidR="005D2557">
        <w:rPr>
          <w:lang w:val="en-GB"/>
        </w:rPr>
      </w:r>
      <w:r w:rsidR="005D2557">
        <w:rPr>
          <w:lang w:val="en-GB"/>
        </w:rPr>
        <w:fldChar w:fldCharType="separate"/>
      </w:r>
      <w:r w:rsidR="00685646">
        <w:rPr>
          <w:lang w:val="en-GB"/>
        </w:rPr>
        <w:t>[7]</w:t>
      </w:r>
      <w:r w:rsidR="005D2557">
        <w:rPr>
          <w:lang w:val="en-GB"/>
        </w:rPr>
        <w:fldChar w:fldCharType="end"/>
      </w:r>
      <w:r w:rsidR="005D2557">
        <w:rPr>
          <w:lang w:val="en-GB"/>
        </w:rPr>
        <w:t>.</w:t>
      </w:r>
    </w:p>
    <w:p w14:paraId="25FB98A7" w14:textId="4D2169BA" w:rsidR="00D6755D" w:rsidRDefault="00D14DE5" w:rsidP="00FA27B9">
      <w:pPr>
        <w:pStyle w:val="Caption"/>
      </w:pPr>
      <w:bookmarkStart w:id="186" w:name="_Toc503313774"/>
      <w:bookmarkStart w:id="187" w:name="_Toc503464745"/>
      <w:bookmarkStart w:id="188" w:name="_Toc503486500"/>
      <w:bookmarkStart w:id="189" w:name="_Toc503488680"/>
      <w:bookmarkStart w:id="190" w:name="_Toc503489514"/>
      <w:bookmarkStart w:id="191" w:name="_Toc503490983"/>
      <w:bookmarkStart w:id="192" w:name="_Toc503491322"/>
      <w:bookmarkStart w:id="193" w:name="_Toc503534866"/>
      <w:bookmarkStart w:id="194" w:name="_Toc503538751"/>
      <w:bookmarkStart w:id="195" w:name="_Toc503539935"/>
      <w:bookmarkStart w:id="196" w:name="_Toc503540001"/>
      <w:bookmarkStart w:id="197" w:name="_Toc503542179"/>
      <w:bookmarkStart w:id="198" w:name="_Toc503545884"/>
      <w:bookmarkStart w:id="199" w:name="_Toc503545900"/>
      <w:bookmarkStart w:id="200" w:name="_Toc503547093"/>
      <w:bookmarkStart w:id="201" w:name="_Toc503547226"/>
      <w:bookmarkStart w:id="202" w:name="_Toc503547805"/>
      <w:bookmarkStart w:id="203" w:name="_Toc503552114"/>
      <w:bookmarkStart w:id="204" w:name="_Toc503553237"/>
      <w:r>
        <w:t xml:space="preserve">Proposal </w:t>
      </w:r>
      <w:r w:rsidR="001E1392">
        <w:fldChar w:fldCharType="begin"/>
      </w:r>
      <w:r w:rsidR="001E1392">
        <w:instrText xml:space="preserve"> SEQ Proposal \* ARABIC </w:instrText>
      </w:r>
      <w:r w:rsidR="001E1392">
        <w:fldChar w:fldCharType="separate"/>
      </w:r>
      <w:r w:rsidR="00685646">
        <w:rPr>
          <w:noProof/>
        </w:rPr>
        <w:t>8</w:t>
      </w:r>
      <w:r w:rsidR="001E1392">
        <w:rPr>
          <w:noProof/>
        </w:rPr>
        <w:fldChar w:fldCharType="end"/>
      </w:r>
      <w:r>
        <w:t>: Support DL scheduling DCI with zero</w:t>
      </w:r>
      <w:r w:rsidR="005D2557">
        <w:t xml:space="preserve"> resource allocation</w:t>
      </w:r>
      <w:r>
        <w:t xml:space="preserve"> (i.e. without scheduling downlink transmission) for active DL or DL/UL BWP switching. UE is expected to send positive HARQ-ACK for zero-size PDSCH transmission.</w:t>
      </w:r>
      <w:bookmarkStart w:id="205" w:name="_Toc494572796"/>
      <w:bookmarkStart w:id="206" w:name="_Toc494577156"/>
      <w:bookmarkStart w:id="207" w:name="_Toc494705623"/>
      <w:bookmarkStart w:id="208" w:name="_Toc494706220"/>
      <w:bookmarkStart w:id="209" w:name="_Toc494706600"/>
      <w:bookmarkStart w:id="210" w:name="_Toc494718922"/>
      <w:bookmarkStart w:id="211" w:name="_Toc494718946"/>
      <w:bookmarkStart w:id="212" w:name="_Toc494737092"/>
      <w:bookmarkStart w:id="213" w:name="_Toc494741487"/>
      <w:bookmarkStart w:id="214" w:name="_Toc494742681"/>
      <w:bookmarkStart w:id="215" w:name="_Toc494742964"/>
      <w:bookmarkStart w:id="216" w:name="_Toc494743443"/>
      <w:bookmarkStart w:id="217" w:name="_Toc494743590"/>
      <w:bookmarkStart w:id="218" w:name="_Toc494743627"/>
      <w:bookmarkStart w:id="219" w:name="_Toc494744787"/>
      <w:bookmarkStart w:id="220" w:name="_Toc49474836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E7C32C7" w14:textId="0AEDECB0" w:rsidR="005E5379" w:rsidRPr="00FE2A5B" w:rsidRDefault="00FE2A5B" w:rsidP="00FE2A5B">
      <w:pPr>
        <w:pStyle w:val="Caption"/>
      </w:pPr>
      <w:bookmarkStart w:id="221" w:name="_Toc503282495"/>
      <w:bookmarkStart w:id="222" w:name="_Toc503313775"/>
      <w:bookmarkStart w:id="223" w:name="_Toc503464746"/>
      <w:bookmarkStart w:id="224" w:name="_Toc503486501"/>
      <w:bookmarkStart w:id="225" w:name="_Toc503488681"/>
      <w:bookmarkStart w:id="226" w:name="_Toc503489515"/>
      <w:bookmarkStart w:id="227" w:name="_Toc503490984"/>
      <w:bookmarkStart w:id="228" w:name="_Toc503491323"/>
      <w:bookmarkStart w:id="229" w:name="_Toc503534867"/>
      <w:bookmarkStart w:id="230" w:name="_Toc503538752"/>
      <w:bookmarkStart w:id="231" w:name="_Toc503539936"/>
      <w:bookmarkStart w:id="232" w:name="_Toc503540002"/>
      <w:bookmarkStart w:id="233" w:name="_Toc503542180"/>
      <w:bookmarkStart w:id="234" w:name="_Toc503545885"/>
      <w:bookmarkStart w:id="235" w:name="_Toc503545901"/>
      <w:bookmarkStart w:id="236" w:name="_Toc503547094"/>
      <w:bookmarkStart w:id="237" w:name="_Toc503547227"/>
      <w:bookmarkStart w:id="238" w:name="_Toc503547806"/>
      <w:bookmarkStart w:id="239" w:name="_Toc503552115"/>
      <w:bookmarkStart w:id="240" w:name="_Toc503553238"/>
      <w:r>
        <w:t xml:space="preserve">Proposal </w:t>
      </w:r>
      <w:r w:rsidR="001E1392">
        <w:fldChar w:fldCharType="begin"/>
      </w:r>
      <w:r w:rsidR="001E1392">
        <w:instrText xml:space="preserve"> SEQ Proposal \* ARABIC </w:instrText>
      </w:r>
      <w:r w:rsidR="001E1392">
        <w:fldChar w:fldCharType="separate"/>
      </w:r>
      <w:r w:rsidR="00685646">
        <w:rPr>
          <w:noProof/>
        </w:rPr>
        <w:t>9</w:t>
      </w:r>
      <w:r w:rsidR="001E1392">
        <w:rPr>
          <w:noProof/>
        </w:rPr>
        <w:fldChar w:fldCharType="end"/>
      </w:r>
      <w:r>
        <w:t>: Support UL scheduling DCI with zero</w:t>
      </w:r>
      <w:r w:rsidR="005D2557">
        <w:t xml:space="preserve"> resource allocation</w:t>
      </w:r>
      <w:r>
        <w:t xml:space="preserve"> (i.e. without scheduling uplink transmission).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615A43B" w14:textId="77777777" w:rsidR="00D6755D" w:rsidRDefault="00D6755D" w:rsidP="00E20ED1"/>
    <w:p w14:paraId="06063B02" w14:textId="49324A01" w:rsidR="00E20ED1" w:rsidRDefault="00E20ED1" w:rsidP="00E20ED1">
      <w:r>
        <w:t xml:space="preserve">It has been agreed that the BWP ID field in a DL scheduling DCI refers to the DL BWP, and the BWP ID field in a UL scheduling DCI refers to the UL BWP. For unpaired spectrum, because of DL/UL BWP pairing, the BWP ID </w:t>
      </w:r>
      <w:r w:rsidR="00784E91">
        <w:t>would be able to specify switching of both DL and UL BWP</w:t>
      </w:r>
      <w:r>
        <w:t xml:space="preserve">. This is actually quite convenient as there are use cases for UL scheduling DCI to trigger DL BWP switching, and vice versa. For paired spectrum, a UL </w:t>
      </w:r>
      <w:r w:rsidR="00784E91">
        <w:t xml:space="preserve">or DL </w:t>
      </w:r>
      <w:r>
        <w:t>scheduling DCI can trigger BWP switching only for UL BWP</w:t>
      </w:r>
      <w:r w:rsidR="00784E91">
        <w:t xml:space="preserve"> or DL BWP respectively</w:t>
      </w:r>
      <w:r>
        <w:t>.</w:t>
      </w:r>
    </w:p>
    <w:p w14:paraId="3712C61F" w14:textId="0BCA378B" w:rsidR="00E20ED1" w:rsidRDefault="00784E91" w:rsidP="00E20ED1">
      <w:r>
        <w:t>F</w:t>
      </w:r>
      <w:r w:rsidR="00E20ED1">
        <w:t>or UL scheduling DCI</w:t>
      </w:r>
      <w:r>
        <w:t xml:space="preserve"> with zero</w:t>
      </w:r>
      <w:r w:rsidR="005D2557">
        <w:t>-RA</w:t>
      </w:r>
      <w:r>
        <w:t xml:space="preserve">, </w:t>
      </w:r>
      <w:r w:rsidR="00E20ED1">
        <w:t xml:space="preserve">UE would not transmit anything even if DCI is correctly decoded. There is no way for gNB to get any form of immediate feedback, and if there was a UL BWP switch request, gNB does not know whether the UE has </w:t>
      </w:r>
      <w:r w:rsidR="0085626D">
        <w:t xml:space="preserve">decoded the UL BWP switching DCI </w:t>
      </w:r>
      <w:r w:rsidR="00E20ED1">
        <w:t xml:space="preserve">successfully. </w:t>
      </w:r>
      <w:r>
        <w:t>F</w:t>
      </w:r>
      <w:r w:rsidR="00E20ED1">
        <w:t>or unpaired spectrum, DL scheduling DCI with zero</w:t>
      </w:r>
      <w:r w:rsidR="005D2557">
        <w:t>-RA</w:t>
      </w:r>
      <w:r w:rsidR="00E20ED1">
        <w:t xml:space="preserve"> can also switch UL BWP, and acknowledge to gNB is supported, so it is a more preferred option</w:t>
      </w:r>
      <w:r>
        <w:t>. However, f</w:t>
      </w:r>
      <w:r w:rsidR="00E20ED1">
        <w:t>or paired spectrum, DL scheduling DCI with zero</w:t>
      </w:r>
      <w:r w:rsidR="005D2557">
        <w:t>-RA</w:t>
      </w:r>
      <w:r w:rsidR="00E20ED1">
        <w:t xml:space="preserve"> cannot be used to switch UL BWP. The following </w:t>
      </w:r>
      <w:r>
        <w:t xml:space="preserve">enhancements </w:t>
      </w:r>
      <w:r w:rsidR="00E20ED1">
        <w:t xml:space="preserve">can be considered: </w:t>
      </w:r>
    </w:p>
    <w:p w14:paraId="664772B8" w14:textId="67C17FBF" w:rsidR="00E20ED1" w:rsidRPr="00112F06" w:rsidRDefault="00E20ED1" w:rsidP="00E20ED1">
      <w:pPr>
        <w:pStyle w:val="ListParagraph"/>
        <w:numPr>
          <w:ilvl w:val="0"/>
          <w:numId w:val="15"/>
        </w:numPr>
      </w:pPr>
      <w:r>
        <w:t xml:space="preserve">Baseline: </w:t>
      </w:r>
      <w:r w:rsidRPr="00112F06">
        <w:t>DL grant with zero</w:t>
      </w:r>
      <w:r w:rsidR="005D2557">
        <w:t>-</w:t>
      </w:r>
      <w:r w:rsidRPr="00112F06">
        <w:t>RA, with target DL BWP ID</w:t>
      </w:r>
    </w:p>
    <w:p w14:paraId="5E08E66B" w14:textId="054EC1B2" w:rsidR="00E20ED1" w:rsidRPr="00112F06" w:rsidRDefault="00E20ED1" w:rsidP="00E20ED1">
      <w:pPr>
        <w:pStyle w:val="ListParagraph"/>
        <w:numPr>
          <w:ilvl w:val="0"/>
          <w:numId w:val="15"/>
        </w:numPr>
      </w:pPr>
      <w:r>
        <w:lastRenderedPageBreak/>
        <w:t xml:space="preserve">Enhancement: </w:t>
      </w:r>
      <w:r w:rsidRPr="00112F06">
        <w:t>DL grant with zero</w:t>
      </w:r>
      <w:r w:rsidR="005D2557">
        <w:t>-</w:t>
      </w:r>
      <w:r w:rsidRPr="00112F06">
        <w:t xml:space="preserve">RA, reuse field(s) (e.g. any one of MCS/RV/HARQ ID) to add 2-bit UL BWP ID field and 1-bit indicator for presence of the field; DL BWP ID can be populated with </w:t>
      </w:r>
      <w:r>
        <w:t xml:space="preserve">the </w:t>
      </w:r>
      <w:r w:rsidRPr="00112F06">
        <w:t>original DL BWP ID</w:t>
      </w:r>
      <w:r>
        <w:t xml:space="preserve"> (for no DL BWP switching) or with new DL BWP ID (for DL BWP switching).</w:t>
      </w:r>
    </w:p>
    <w:p w14:paraId="167C6E17" w14:textId="77777777" w:rsidR="00E20ED1" w:rsidRDefault="00E20ED1" w:rsidP="00E20ED1">
      <w:r>
        <w:t>The enhanced DCI achieves parity between unpaired and paired spectrum in the sense that DL scheduling DCI can be used to switch DL/UL BWP.</w:t>
      </w:r>
    </w:p>
    <w:p w14:paraId="3E982C51" w14:textId="77777777" w:rsidR="00E20ED1" w:rsidRDefault="00E20ED1" w:rsidP="00E20ED1">
      <w:r>
        <w:t>It should be noted that for LTE UL SPS activation/release DCI, DL scheduling DCI is also reused for similar reason that it supports acknowledgement to the gNB.</w:t>
      </w:r>
    </w:p>
    <w:p w14:paraId="6EE8EF99" w14:textId="7FBE908E" w:rsidR="00E20ED1" w:rsidRDefault="00E20ED1" w:rsidP="00E20ED1">
      <w:pPr>
        <w:pStyle w:val="Caption"/>
      </w:pPr>
      <w:bookmarkStart w:id="241" w:name="_Toc498701149"/>
      <w:bookmarkStart w:id="242" w:name="_Toc498702924"/>
      <w:bookmarkStart w:id="243" w:name="_Toc498711168"/>
      <w:bookmarkStart w:id="244" w:name="_Toc498712645"/>
      <w:bookmarkStart w:id="245" w:name="_Toc498712713"/>
      <w:bookmarkStart w:id="246" w:name="_Toc498714485"/>
      <w:bookmarkStart w:id="247" w:name="_Toc498715971"/>
      <w:bookmarkStart w:id="248" w:name="_Toc498716645"/>
      <w:bookmarkStart w:id="249" w:name="_Toc498717151"/>
      <w:bookmarkStart w:id="250" w:name="_Toc498717290"/>
      <w:bookmarkStart w:id="251" w:name="_Toc498717536"/>
      <w:bookmarkStart w:id="252" w:name="_Toc498720186"/>
      <w:bookmarkStart w:id="253" w:name="_Toc503105510"/>
      <w:bookmarkStart w:id="254" w:name="_Toc503105522"/>
      <w:bookmarkStart w:id="255" w:name="_Toc503105532"/>
      <w:bookmarkStart w:id="256" w:name="_Toc503105649"/>
      <w:bookmarkStart w:id="257" w:name="_Toc503260717"/>
      <w:bookmarkStart w:id="258" w:name="_Toc503267959"/>
      <w:bookmarkStart w:id="259" w:name="_Toc503268140"/>
      <w:bookmarkStart w:id="260" w:name="_Toc503268190"/>
      <w:bookmarkStart w:id="261" w:name="_Toc503268218"/>
      <w:bookmarkStart w:id="262" w:name="_Toc503282496"/>
      <w:bookmarkStart w:id="263" w:name="_Toc503313776"/>
      <w:bookmarkStart w:id="264" w:name="_Toc503464747"/>
      <w:bookmarkStart w:id="265" w:name="_Toc503486502"/>
      <w:bookmarkStart w:id="266" w:name="_Toc503488682"/>
      <w:bookmarkStart w:id="267" w:name="_Toc503489516"/>
      <w:bookmarkStart w:id="268" w:name="_Toc503490985"/>
      <w:bookmarkStart w:id="269" w:name="_Toc503491324"/>
      <w:bookmarkStart w:id="270" w:name="_Toc503534868"/>
      <w:bookmarkStart w:id="271" w:name="_Toc503538753"/>
      <w:bookmarkStart w:id="272" w:name="_Toc503539937"/>
      <w:bookmarkStart w:id="273" w:name="_Toc503540003"/>
      <w:bookmarkStart w:id="274" w:name="_Toc503542181"/>
      <w:bookmarkStart w:id="275" w:name="_Toc503545886"/>
      <w:bookmarkStart w:id="276" w:name="_Toc503545902"/>
      <w:bookmarkStart w:id="277" w:name="_Toc503547095"/>
      <w:bookmarkStart w:id="278" w:name="_Toc503547228"/>
      <w:bookmarkStart w:id="279" w:name="_Toc503547807"/>
      <w:bookmarkStart w:id="280" w:name="_Toc503552116"/>
      <w:bookmarkStart w:id="281" w:name="_Toc503553239"/>
      <w:r>
        <w:t xml:space="preserve">Proposal </w:t>
      </w:r>
      <w:r w:rsidR="001E1392">
        <w:fldChar w:fldCharType="begin"/>
      </w:r>
      <w:r w:rsidR="001E1392">
        <w:instrText xml:space="preserve"> SEQ Proposal \* ARABIC </w:instrText>
      </w:r>
      <w:r w:rsidR="001E1392">
        <w:fldChar w:fldCharType="separate"/>
      </w:r>
      <w:r w:rsidR="00685646">
        <w:rPr>
          <w:noProof/>
        </w:rPr>
        <w:t>10</w:t>
      </w:r>
      <w:r w:rsidR="001E1392">
        <w:rPr>
          <w:noProof/>
        </w:rPr>
        <w:fldChar w:fldCharType="end"/>
      </w:r>
      <w:r>
        <w:t xml:space="preserve">: For paired spectrum, DL scheduling DCI with zero </w:t>
      </w:r>
      <w:r w:rsidR="005D2557">
        <w:t>resource allocation</w:t>
      </w:r>
      <w:r>
        <w:t xml:space="preserve"> can have some unused field repurposed for at least the UL BWP ID field to support UL BWP switching.</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7738FF5D" w14:textId="77777777" w:rsidR="00E20ED1" w:rsidRDefault="00E20ED1" w:rsidP="00AC404F"/>
    <w:p w14:paraId="22112E1B" w14:textId="218E960F" w:rsidR="008312D0" w:rsidRDefault="008312D0" w:rsidP="008312D0">
      <w:pPr>
        <w:pStyle w:val="Heading3"/>
      </w:pPr>
      <w:bookmarkStart w:id="282" w:name="_Ref498694307"/>
      <w:r>
        <w:t>Aperiodic CSI Request in UL Grant</w:t>
      </w:r>
      <w:r w:rsidR="00BA0B82">
        <w:t xml:space="preserve"> for DL BWP Switching</w:t>
      </w:r>
      <w:bookmarkEnd w:id="282"/>
    </w:p>
    <w:p w14:paraId="74C19C41" w14:textId="03E6C7D2" w:rsidR="00200920" w:rsidRDefault="00200920" w:rsidP="008312D0">
      <w:pPr>
        <w:rPr>
          <w:lang w:val="en-GB"/>
        </w:rPr>
      </w:pPr>
      <w:r>
        <w:rPr>
          <w:lang w:val="en-GB"/>
        </w:rPr>
        <w:t xml:space="preserve">Based on the </w:t>
      </w:r>
      <w:r w:rsidR="00AC6D9F">
        <w:rPr>
          <w:lang w:val="en-GB"/>
        </w:rPr>
        <w:t>agreement</w:t>
      </w:r>
      <w:r>
        <w:rPr>
          <w:lang w:val="en-GB"/>
        </w:rPr>
        <w:t xml:space="preserve"> that CSI measurement </w:t>
      </w:r>
      <w:r w:rsidR="00AC6D9F">
        <w:rPr>
          <w:lang w:val="en-GB"/>
        </w:rPr>
        <w:t>is</w:t>
      </w:r>
      <w:r>
        <w:rPr>
          <w:lang w:val="en-GB"/>
        </w:rPr>
        <w:t xml:space="preserve"> supported only within the active DL BWP, there is a strong </w:t>
      </w:r>
      <w:r w:rsidR="00B16D57">
        <w:rPr>
          <w:lang w:val="en-GB"/>
        </w:rPr>
        <w:t xml:space="preserve">use case </w:t>
      </w:r>
      <w:r>
        <w:rPr>
          <w:lang w:val="en-GB"/>
        </w:rPr>
        <w:t>for gNB to trigger aperiodic CSI (A-CSI) request to obtain updated CSF</w:t>
      </w:r>
      <w:r w:rsidR="00B16D57">
        <w:rPr>
          <w:lang w:val="en-GB"/>
        </w:rPr>
        <w:t xml:space="preserve"> for a new active </w:t>
      </w:r>
      <w:r w:rsidR="0045567D">
        <w:rPr>
          <w:lang w:val="en-GB"/>
        </w:rPr>
        <w:t xml:space="preserve">DL </w:t>
      </w:r>
      <w:r w:rsidR="00B16D57">
        <w:rPr>
          <w:lang w:val="en-GB"/>
        </w:rPr>
        <w:t>BWP</w:t>
      </w:r>
      <w:r>
        <w:rPr>
          <w:lang w:val="en-GB"/>
        </w:rPr>
        <w:t>. While the DL grant that triggers the BWP switch can be used to also trigger A-CSI request by setting the corresponding field in the same DCI, the UE would send A-CSI content on PUCCH to the gNB. PUCCH has limited capacity, so it would be desirable to use PUSCH for CSF.</w:t>
      </w:r>
    </w:p>
    <w:p w14:paraId="3931559F" w14:textId="6F15068F" w:rsidR="00200920" w:rsidRDefault="00200920" w:rsidP="008312D0">
      <w:pPr>
        <w:rPr>
          <w:lang w:val="en-GB"/>
        </w:rPr>
      </w:pPr>
      <w:r>
        <w:rPr>
          <w:lang w:val="en-GB"/>
        </w:rPr>
        <w:t xml:space="preserve">In LTE and NR, A-CSI content can be sent on PUSCH if the A-CSI request comes with a UL grant. The resource allocation in the UL grant specifies the resources to be used for A-CSI content. Likewise, the BWP ID in the UL grant specifies the </w:t>
      </w:r>
      <w:r w:rsidR="0045567D">
        <w:rPr>
          <w:lang w:val="en-GB"/>
        </w:rPr>
        <w:t xml:space="preserve">UL </w:t>
      </w:r>
      <w:r>
        <w:rPr>
          <w:lang w:val="en-GB"/>
        </w:rPr>
        <w:t>BWP in which the PUSCH should be transmitted.</w:t>
      </w:r>
    </w:p>
    <w:p w14:paraId="6493DC78" w14:textId="44D6C856" w:rsidR="00200920" w:rsidRDefault="00CF4755" w:rsidP="008312D0">
      <w:pPr>
        <w:rPr>
          <w:lang w:val="en-GB"/>
        </w:rPr>
      </w:pPr>
      <w:r>
        <w:rPr>
          <w:lang w:val="en-GB"/>
        </w:rPr>
        <w:t xml:space="preserve">Similar to the DL grant case, it’d be desirable to have a single UL grant triggering DL BWP switch along with A-CSI request on the new DL BWP. For unpaired spectrum, this can be done because the BWP ID </w:t>
      </w:r>
      <w:r w:rsidR="00656FA1">
        <w:rPr>
          <w:lang w:val="en-GB"/>
        </w:rPr>
        <w:t xml:space="preserve">in the UL grant also implicitly </w:t>
      </w:r>
      <w:r w:rsidR="0045567D">
        <w:rPr>
          <w:lang w:val="en-GB"/>
        </w:rPr>
        <w:t>indicates</w:t>
      </w:r>
      <w:r>
        <w:rPr>
          <w:lang w:val="en-GB"/>
        </w:rPr>
        <w:t xml:space="preserve"> the </w:t>
      </w:r>
      <w:r w:rsidR="00656FA1">
        <w:rPr>
          <w:lang w:val="en-GB"/>
        </w:rPr>
        <w:t xml:space="preserve">paired </w:t>
      </w:r>
      <w:r>
        <w:rPr>
          <w:lang w:val="en-GB"/>
        </w:rPr>
        <w:t xml:space="preserve">DL BWP. The UL grant can </w:t>
      </w:r>
      <w:r w:rsidR="00656FA1">
        <w:rPr>
          <w:lang w:val="en-GB"/>
        </w:rPr>
        <w:t xml:space="preserve">signal </w:t>
      </w:r>
      <w:r>
        <w:rPr>
          <w:lang w:val="en-GB"/>
        </w:rPr>
        <w:t xml:space="preserve">the new BWP </w:t>
      </w:r>
      <w:r w:rsidR="00656FA1">
        <w:rPr>
          <w:lang w:val="en-GB"/>
        </w:rPr>
        <w:t xml:space="preserve">UL/DL </w:t>
      </w:r>
      <w:r>
        <w:rPr>
          <w:lang w:val="en-GB"/>
        </w:rPr>
        <w:t>pair along with setting the A-CSI request field. A-CSI content would be sen</w:t>
      </w:r>
      <w:r w:rsidR="00D4039F">
        <w:rPr>
          <w:lang w:val="en-GB"/>
        </w:rPr>
        <w:t>t</w:t>
      </w:r>
      <w:r>
        <w:rPr>
          <w:lang w:val="en-GB"/>
        </w:rPr>
        <w:t xml:space="preserve"> back on PUSCH resources signalled in the resource allocation in the UL grant.</w:t>
      </w:r>
    </w:p>
    <w:p w14:paraId="5B03F3C3" w14:textId="63ED667B" w:rsidR="00CF4755" w:rsidRDefault="00CF4755" w:rsidP="008312D0">
      <w:pPr>
        <w:rPr>
          <w:lang w:val="en-GB"/>
        </w:rPr>
      </w:pPr>
      <w:r>
        <w:rPr>
          <w:lang w:val="en-GB"/>
        </w:rPr>
        <w:t>However, for paired spectrum, because the BWP ID in the UL grant only refers to the UL BWP, there is no way to trigger a DL BWP change with the same DCI. The “status quo” solution to this is to have duplicate grants: A DL grant to switch to the new DL BWP; A UL grant for A-CSI request and PUSCH allocation for A-CSI content. In this case, UL BWP may not have to change, so the UL grant may keep the same UL BWP ID as before.</w:t>
      </w:r>
    </w:p>
    <w:p w14:paraId="25817AB7" w14:textId="7ED05A83" w:rsidR="00CF4755" w:rsidRDefault="00CF4755" w:rsidP="008312D0">
      <w:pPr>
        <w:rPr>
          <w:lang w:val="en-GB"/>
        </w:rPr>
      </w:pPr>
      <w:r>
        <w:rPr>
          <w:lang w:val="en-GB"/>
        </w:rPr>
        <w:t>There is some inefficiency with this solution. First, both UL and DL grants have to be used, and they are not individually fully utilized. For example, without update</w:t>
      </w:r>
      <w:r w:rsidR="00FC5778">
        <w:rPr>
          <w:lang w:val="en-GB"/>
        </w:rPr>
        <w:t>d</w:t>
      </w:r>
      <w:r>
        <w:rPr>
          <w:lang w:val="en-GB"/>
        </w:rPr>
        <w:t xml:space="preserve"> CSF, gNB may not be able to schedule DL data to the UE very efficiently; It may even prefer not to schedule DL data to the UE by using a DL grant with </w:t>
      </w:r>
      <w:r w:rsidR="0045567D">
        <w:rPr>
          <w:lang w:val="en-GB"/>
        </w:rPr>
        <w:t>zero resource allocation</w:t>
      </w:r>
      <w:r>
        <w:rPr>
          <w:lang w:val="en-GB"/>
        </w:rPr>
        <w:t xml:space="preserve"> (if supported). For the UL grant, because UL BWP does not need to change, it is simply repeating the current active UL BWP.</w:t>
      </w:r>
    </w:p>
    <w:p w14:paraId="7246EC3F" w14:textId="7AC46BD6" w:rsidR="00CF4755" w:rsidRDefault="0045567D" w:rsidP="008312D0">
      <w:pPr>
        <w:rPr>
          <w:lang w:val="en-GB"/>
        </w:rPr>
      </w:pPr>
      <w:r>
        <w:rPr>
          <w:lang w:val="en-GB"/>
        </w:rPr>
        <w:t>The following scheme allows a single</w:t>
      </w:r>
      <w:r w:rsidR="00BA0B82">
        <w:rPr>
          <w:lang w:val="en-GB"/>
        </w:rPr>
        <w:t xml:space="preserve"> UL grant to support A-CSI request </w:t>
      </w:r>
      <w:r>
        <w:rPr>
          <w:lang w:val="en-GB"/>
        </w:rPr>
        <w:t>for</w:t>
      </w:r>
      <w:r w:rsidR="00BA0B82">
        <w:rPr>
          <w:lang w:val="en-GB"/>
        </w:rPr>
        <w:t xml:space="preserve"> PUSCH as well as DL BWP switching:</w:t>
      </w:r>
    </w:p>
    <w:p w14:paraId="610C8B2F" w14:textId="77777777" w:rsidR="00BA0B82" w:rsidRPr="00BA0B82" w:rsidRDefault="00BA0B82" w:rsidP="00BA0B82">
      <w:pPr>
        <w:rPr>
          <w:lang w:val="en-GB"/>
        </w:rPr>
      </w:pPr>
      <w:r w:rsidRPr="00BA0B82">
        <w:rPr>
          <w:lang w:val="en-GB"/>
        </w:rPr>
        <w:t>In the UL scheduling DCI, BWP ID is conditioned on A-CSI request</w:t>
      </w:r>
    </w:p>
    <w:p w14:paraId="39448123" w14:textId="478EA48B" w:rsidR="00BA0B82" w:rsidRPr="00BA0B82" w:rsidRDefault="00BA0B82" w:rsidP="00BA0B82">
      <w:pPr>
        <w:pStyle w:val="ListParagraph"/>
        <w:numPr>
          <w:ilvl w:val="0"/>
          <w:numId w:val="13"/>
        </w:numPr>
      </w:pPr>
      <w:r w:rsidRPr="00BA0B82">
        <w:t xml:space="preserve">If A-CSI request is </w:t>
      </w:r>
      <w:r>
        <w:t>not enabled</w:t>
      </w:r>
      <w:r w:rsidRPr="00BA0B82">
        <w:t>, BWP ID applies to UL BWP (normal/existing behavior)</w:t>
      </w:r>
    </w:p>
    <w:p w14:paraId="1CDDD304" w14:textId="717D0D49" w:rsidR="00BA0B82" w:rsidRDefault="00BA0B82" w:rsidP="00BA0B82">
      <w:pPr>
        <w:pStyle w:val="ListParagraph"/>
        <w:numPr>
          <w:ilvl w:val="0"/>
          <w:numId w:val="13"/>
        </w:numPr>
      </w:pPr>
      <w:r w:rsidRPr="00BA0B82">
        <w:t xml:space="preserve">If A-CSI request is </w:t>
      </w:r>
      <w:r>
        <w:t>enabled</w:t>
      </w:r>
      <w:r w:rsidRPr="00BA0B82">
        <w:t>, BWP ID applies to DL BWP (</w:t>
      </w:r>
      <w:r>
        <w:t>enhanced</w:t>
      </w:r>
      <w:r w:rsidRPr="00BA0B82">
        <w:t xml:space="preserve"> behavior)</w:t>
      </w:r>
    </w:p>
    <w:p w14:paraId="2B89E01F" w14:textId="5C69F909" w:rsidR="00BA0B82" w:rsidRDefault="00BA0B82" w:rsidP="00BA0B82"/>
    <w:p w14:paraId="086426EF" w14:textId="0927F663" w:rsidR="00BA0B82" w:rsidRDefault="00BA0B82" w:rsidP="00BA0B82">
      <w:pPr>
        <w:pStyle w:val="Caption"/>
      </w:pPr>
      <w:bookmarkStart w:id="283" w:name="_Toc498701146"/>
      <w:bookmarkStart w:id="284" w:name="_Toc498702921"/>
      <w:bookmarkStart w:id="285" w:name="_Toc498711165"/>
      <w:bookmarkStart w:id="286" w:name="_Toc498712642"/>
      <w:bookmarkStart w:id="287" w:name="_Toc498712710"/>
      <w:bookmarkStart w:id="288" w:name="_Toc498714482"/>
      <w:bookmarkStart w:id="289" w:name="_Toc498715968"/>
      <w:bookmarkStart w:id="290" w:name="_Toc498716642"/>
      <w:bookmarkStart w:id="291" w:name="_Toc498717148"/>
      <w:bookmarkStart w:id="292" w:name="_Toc498717287"/>
      <w:bookmarkStart w:id="293" w:name="_Toc498717533"/>
      <w:bookmarkStart w:id="294" w:name="_Toc498720183"/>
      <w:bookmarkStart w:id="295" w:name="_Toc503105507"/>
      <w:bookmarkStart w:id="296" w:name="_Toc503105519"/>
      <w:bookmarkStart w:id="297" w:name="_Toc503105529"/>
      <w:bookmarkStart w:id="298" w:name="_Toc503105646"/>
      <w:bookmarkStart w:id="299" w:name="_Toc503260718"/>
      <w:bookmarkStart w:id="300" w:name="_Toc503267960"/>
      <w:bookmarkStart w:id="301" w:name="_Toc503268141"/>
      <w:bookmarkStart w:id="302" w:name="_Toc503268191"/>
      <w:bookmarkStart w:id="303" w:name="_Toc503268219"/>
      <w:bookmarkStart w:id="304" w:name="_Toc503282497"/>
      <w:bookmarkStart w:id="305" w:name="_Toc503313777"/>
      <w:bookmarkStart w:id="306" w:name="_Toc503464748"/>
      <w:bookmarkStart w:id="307" w:name="_Toc503486503"/>
      <w:bookmarkStart w:id="308" w:name="_Toc503488683"/>
      <w:bookmarkStart w:id="309" w:name="_Toc503489517"/>
      <w:bookmarkStart w:id="310" w:name="_Toc503490986"/>
      <w:bookmarkStart w:id="311" w:name="_Toc503491325"/>
      <w:bookmarkStart w:id="312" w:name="_Toc503534869"/>
      <w:bookmarkStart w:id="313" w:name="_Toc503538754"/>
      <w:bookmarkStart w:id="314" w:name="_Toc503539938"/>
      <w:bookmarkStart w:id="315" w:name="_Toc503540004"/>
      <w:bookmarkStart w:id="316" w:name="_Toc503542182"/>
      <w:bookmarkStart w:id="317" w:name="_Toc503545887"/>
      <w:bookmarkStart w:id="318" w:name="_Toc503545903"/>
      <w:bookmarkStart w:id="319" w:name="_Toc503547096"/>
      <w:bookmarkStart w:id="320" w:name="_Toc503547229"/>
      <w:bookmarkStart w:id="321" w:name="_Toc503547808"/>
      <w:bookmarkStart w:id="322" w:name="_Toc503552117"/>
      <w:bookmarkStart w:id="323" w:name="_Toc503553240"/>
      <w:r>
        <w:t xml:space="preserve">Proposal </w:t>
      </w:r>
      <w:r w:rsidR="001E1392">
        <w:fldChar w:fldCharType="begin"/>
      </w:r>
      <w:r w:rsidR="001E1392">
        <w:instrText xml:space="preserve"> SEQ Proposal \* ARABIC </w:instrText>
      </w:r>
      <w:r w:rsidR="001E1392">
        <w:fldChar w:fldCharType="separate"/>
      </w:r>
      <w:r w:rsidR="00685646">
        <w:rPr>
          <w:noProof/>
        </w:rPr>
        <w:t>11</w:t>
      </w:r>
      <w:r w:rsidR="001E1392">
        <w:rPr>
          <w:noProof/>
        </w:rPr>
        <w:fldChar w:fldCharType="end"/>
      </w:r>
      <w:r>
        <w:t xml:space="preserve">: </w:t>
      </w:r>
      <w:r w:rsidRPr="00BA0B82">
        <w:t xml:space="preserve">A single UL scheduling DCI can switch </w:t>
      </w:r>
      <w:r w:rsidR="001B5DBA">
        <w:t xml:space="preserve">at least </w:t>
      </w:r>
      <w:r w:rsidRPr="00BA0B82">
        <w:t xml:space="preserve">the DL BWP as well as </w:t>
      </w:r>
      <w:r w:rsidR="001B5DBA">
        <w:t xml:space="preserve">request </w:t>
      </w:r>
      <w:r w:rsidRPr="00BA0B82">
        <w:t xml:space="preserve">A-CSI measurement </w:t>
      </w:r>
      <w:r w:rsidR="001B5DBA">
        <w:t xml:space="preserve">on the new DL BWP, </w:t>
      </w:r>
      <w:r w:rsidRPr="00BA0B82">
        <w:t>and allocate PUSCH resource for CSF</w:t>
      </w:r>
      <w:r>
        <w:t>, for both unpaired spectrum and paired spectrum</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003D7CC1">
        <w:t xml:space="preserve"> operation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59D0E899" w14:textId="42171335" w:rsidR="00BA0B82" w:rsidRDefault="00BA0B82" w:rsidP="00BA0B82">
      <w:r>
        <w:t>This is possible for unpaired spectrum</w:t>
      </w:r>
      <w:r w:rsidR="001B5DBA">
        <w:t xml:space="preserve"> with existing UL grant definition</w:t>
      </w:r>
      <w:r>
        <w:t>, but not possible with paired spectrum unless the following proposed enhancement is supported:</w:t>
      </w:r>
    </w:p>
    <w:p w14:paraId="4E0E9D5A" w14:textId="68B89E4C" w:rsidR="00BA0B82" w:rsidRDefault="00BA0B82" w:rsidP="00BA0B82">
      <w:pPr>
        <w:pStyle w:val="Caption"/>
      </w:pPr>
      <w:bookmarkStart w:id="324" w:name="_Toc498701147"/>
      <w:bookmarkStart w:id="325" w:name="_Toc498702922"/>
      <w:bookmarkStart w:id="326" w:name="_Toc498711166"/>
      <w:bookmarkStart w:id="327" w:name="_Toc498712643"/>
      <w:bookmarkStart w:id="328" w:name="_Toc498712711"/>
      <w:bookmarkStart w:id="329" w:name="_Toc498714483"/>
      <w:bookmarkStart w:id="330" w:name="_Toc498715969"/>
      <w:bookmarkStart w:id="331" w:name="_Toc498716643"/>
      <w:bookmarkStart w:id="332" w:name="_Toc498717149"/>
      <w:bookmarkStart w:id="333" w:name="_Toc498717288"/>
      <w:bookmarkStart w:id="334" w:name="_Toc498717534"/>
      <w:bookmarkStart w:id="335" w:name="_Toc498720184"/>
      <w:bookmarkStart w:id="336" w:name="_Toc503105508"/>
      <w:bookmarkStart w:id="337" w:name="_Toc503105520"/>
      <w:bookmarkStart w:id="338" w:name="_Toc503105530"/>
      <w:bookmarkStart w:id="339" w:name="_Toc503105647"/>
      <w:bookmarkStart w:id="340" w:name="_Toc503260719"/>
      <w:bookmarkStart w:id="341" w:name="_Toc503267961"/>
      <w:bookmarkStart w:id="342" w:name="_Toc503268142"/>
      <w:bookmarkStart w:id="343" w:name="_Toc503268192"/>
      <w:bookmarkStart w:id="344" w:name="_Toc503268220"/>
      <w:bookmarkStart w:id="345" w:name="_Toc503282498"/>
      <w:bookmarkStart w:id="346" w:name="_Toc503313778"/>
      <w:bookmarkStart w:id="347" w:name="_Toc503464749"/>
      <w:bookmarkStart w:id="348" w:name="_Toc503486504"/>
      <w:bookmarkStart w:id="349" w:name="_Toc503488684"/>
      <w:bookmarkStart w:id="350" w:name="_Toc503489518"/>
      <w:bookmarkStart w:id="351" w:name="_Toc503490987"/>
      <w:bookmarkStart w:id="352" w:name="_Toc503491326"/>
      <w:bookmarkStart w:id="353" w:name="_Toc503534870"/>
      <w:bookmarkStart w:id="354" w:name="_Toc503538755"/>
      <w:bookmarkStart w:id="355" w:name="_Toc503539939"/>
      <w:bookmarkStart w:id="356" w:name="_Toc503540005"/>
      <w:bookmarkStart w:id="357" w:name="_Toc503542183"/>
      <w:bookmarkStart w:id="358" w:name="_Toc503545888"/>
      <w:bookmarkStart w:id="359" w:name="_Toc503545904"/>
      <w:bookmarkStart w:id="360" w:name="_Toc503547097"/>
      <w:bookmarkStart w:id="361" w:name="_Toc503547230"/>
      <w:bookmarkStart w:id="362" w:name="_Toc503547809"/>
      <w:bookmarkStart w:id="363" w:name="_Toc503552118"/>
      <w:bookmarkStart w:id="364" w:name="_Toc503553241"/>
      <w:r>
        <w:t xml:space="preserve">Proposal </w:t>
      </w:r>
      <w:r w:rsidR="001E1392">
        <w:fldChar w:fldCharType="begin"/>
      </w:r>
      <w:r w:rsidR="001E1392">
        <w:instrText xml:space="preserve"> SEQ Proposal \* ARABIC </w:instrText>
      </w:r>
      <w:r w:rsidR="001E1392">
        <w:fldChar w:fldCharType="separate"/>
      </w:r>
      <w:r w:rsidR="00685646">
        <w:rPr>
          <w:noProof/>
        </w:rPr>
        <w:t>12</w:t>
      </w:r>
      <w:r w:rsidR="001E1392">
        <w:rPr>
          <w:noProof/>
        </w:rPr>
        <w:fldChar w:fldCharType="end"/>
      </w:r>
      <w:r>
        <w:t>: In the UL scheduling DCI, whether the BWP ID applies to the UL BWP or the DL BWP is implicitly conditioned on the A-CSI request field.</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E82DAF3" w14:textId="141830F9" w:rsidR="00D14D0C" w:rsidRDefault="00D14D0C" w:rsidP="002B15CF">
      <w:pPr>
        <w:rPr>
          <w:lang w:val="en-GB"/>
        </w:rPr>
      </w:pPr>
    </w:p>
    <w:p w14:paraId="7F1B853D" w14:textId="4F1A8C82" w:rsidR="00991F68" w:rsidRDefault="00991F68" w:rsidP="00991F68">
      <w:pPr>
        <w:pStyle w:val="Heading3"/>
      </w:pPr>
      <w:bookmarkStart w:id="365" w:name="_Ref503259614"/>
      <w:r>
        <w:lastRenderedPageBreak/>
        <w:t>C-DRX Operation</w:t>
      </w:r>
      <w:r w:rsidR="00124349">
        <w:t xml:space="preserve"> with BWP</w:t>
      </w:r>
      <w:bookmarkEnd w:id="365"/>
    </w:p>
    <w:p w14:paraId="27786888" w14:textId="7BFFD320" w:rsidR="00991F68" w:rsidRDefault="00991F68" w:rsidP="00991F68">
      <w:pPr>
        <w:rPr>
          <w:lang w:val="en-GB"/>
        </w:rPr>
      </w:pPr>
      <w:r>
        <w:rPr>
          <w:lang w:val="en-GB"/>
        </w:rPr>
        <w:t xml:space="preserve">Although </w:t>
      </w:r>
      <w:r w:rsidR="00E5252C">
        <w:rPr>
          <w:lang w:val="en-GB"/>
        </w:rPr>
        <w:t xml:space="preserve">interaction between </w:t>
      </w:r>
      <w:r>
        <w:rPr>
          <w:lang w:val="en-GB"/>
        </w:rPr>
        <w:t xml:space="preserve">BWP and C-DRX operation is a topic that is addressed in RAN2, it’d be useful to understand the considerations </w:t>
      </w:r>
      <w:r w:rsidR="00E5252C">
        <w:rPr>
          <w:lang w:val="en-GB"/>
        </w:rPr>
        <w:t xml:space="preserve">to </w:t>
      </w:r>
      <w:r>
        <w:rPr>
          <w:lang w:val="en-GB"/>
        </w:rPr>
        <w:t>better motivate L1 design</w:t>
      </w:r>
      <w:r w:rsidR="00E5252C">
        <w:rPr>
          <w:lang w:val="en-GB"/>
        </w:rPr>
        <w:t xml:space="preserve"> impact</w:t>
      </w:r>
      <w:r>
        <w:rPr>
          <w:lang w:val="en-GB"/>
        </w:rPr>
        <w:t>.</w:t>
      </w:r>
    </w:p>
    <w:p w14:paraId="5F9DE5B5" w14:textId="1B35FADB" w:rsidR="00991F68" w:rsidRDefault="00991F68" w:rsidP="00991F68">
      <w:pPr>
        <w:rPr>
          <w:lang w:val="en-GB"/>
        </w:rPr>
      </w:pPr>
      <w:r>
        <w:rPr>
          <w:lang w:val="en-GB"/>
        </w:rPr>
        <w:t xml:space="preserve">Based on observation on </w:t>
      </w:r>
      <w:r w:rsidR="008F2151">
        <w:rPr>
          <w:lang w:val="en-GB"/>
        </w:rPr>
        <w:t xml:space="preserve">current generation </w:t>
      </w:r>
      <w:r>
        <w:rPr>
          <w:lang w:val="en-GB"/>
        </w:rPr>
        <w:t xml:space="preserve">devices and network operation, for applications </w:t>
      </w:r>
      <w:r w:rsidR="003813CE">
        <w:rPr>
          <w:lang w:val="en-GB"/>
        </w:rPr>
        <w:t>based on DoU profile</w:t>
      </w:r>
      <w:r>
        <w:rPr>
          <w:lang w:val="en-GB"/>
        </w:rPr>
        <w:t>, significant percentage of C-DRX cycles are “empty”, i.e. no data is scheduled</w:t>
      </w:r>
      <w:r w:rsidR="007C5C75">
        <w:rPr>
          <w:lang w:val="en-GB"/>
        </w:rPr>
        <w:t xml:space="preserve"> </w:t>
      </w:r>
      <w:r w:rsidR="007C5C75">
        <w:rPr>
          <w:lang w:val="en-GB"/>
        </w:rPr>
        <w:fldChar w:fldCharType="begin"/>
      </w:r>
      <w:r w:rsidR="007C5C75">
        <w:rPr>
          <w:lang w:val="en-GB"/>
        </w:rPr>
        <w:instrText xml:space="preserve"> REF _Ref503268102 \r \h </w:instrText>
      </w:r>
      <w:r w:rsidR="007C5C75">
        <w:rPr>
          <w:lang w:val="en-GB"/>
        </w:rPr>
      </w:r>
      <w:r w:rsidR="007C5C75">
        <w:rPr>
          <w:lang w:val="en-GB"/>
        </w:rPr>
        <w:fldChar w:fldCharType="separate"/>
      </w:r>
      <w:r w:rsidR="00685646">
        <w:rPr>
          <w:lang w:val="en-GB"/>
        </w:rPr>
        <w:t>[1]</w:t>
      </w:r>
      <w:r w:rsidR="007C5C75">
        <w:rPr>
          <w:lang w:val="en-GB"/>
        </w:rPr>
        <w:fldChar w:fldCharType="end"/>
      </w:r>
      <w:r>
        <w:rPr>
          <w:lang w:val="en-GB"/>
        </w:rPr>
        <w:t>. BWP adaptation provides an effective framework in achieving power saving in such use case.</w:t>
      </w:r>
    </w:p>
    <w:p w14:paraId="6159A48F" w14:textId="01063917" w:rsidR="00AB123C" w:rsidRDefault="00AB123C" w:rsidP="00991F68">
      <w:pPr>
        <w:rPr>
          <w:lang w:val="en-GB"/>
        </w:rPr>
      </w:pPr>
      <w:r>
        <w:rPr>
          <w:lang w:val="en-GB"/>
        </w:rPr>
        <w:t>Network may configure at least two BWP</w:t>
      </w:r>
      <w:r w:rsidR="008234CB">
        <w:rPr>
          <w:lang w:val="en-GB"/>
        </w:rPr>
        <w:t xml:space="preserve"> for a UE</w:t>
      </w:r>
      <w:r>
        <w:rPr>
          <w:lang w:val="en-GB"/>
        </w:rPr>
        <w:t>: “BWP1” optimized for PDCCH monitoring targeting low data activity periods, and “BWP2” optimized for data transmission targeting high data activity periods. Typical BWP1 configuration could support narrow bandwidth, large semi-static value of k0</w:t>
      </w:r>
      <w:r w:rsidR="00327C3F">
        <w:rPr>
          <w:lang w:val="en-GB"/>
        </w:rPr>
        <w:t xml:space="preserve"> (also k2)</w:t>
      </w:r>
      <w:r>
        <w:rPr>
          <w:lang w:val="en-GB"/>
        </w:rPr>
        <w:t>, and potentially sparser PDCCH monitoring periodicity; Typical BWP2 configuration could support wide bandwidth, small value of k0 (e.g. 0 for same-slot scheduling), and per-slot PDCCH monitoring. Large semi-static value of k0</w:t>
      </w:r>
      <w:r w:rsidR="00420658">
        <w:rPr>
          <w:lang w:val="en-GB"/>
        </w:rPr>
        <w:t xml:space="preserve"> (and k2)</w:t>
      </w:r>
      <w:r>
        <w:rPr>
          <w:lang w:val="en-GB"/>
        </w:rPr>
        <w:t xml:space="preserve"> for BWP1 is to accommodate transition time for BWP switching as well as transition time for ramping-up of additional </w:t>
      </w:r>
      <w:r w:rsidR="000E0E37">
        <w:rPr>
          <w:lang w:val="en-GB"/>
        </w:rPr>
        <w:t xml:space="preserve">modem </w:t>
      </w:r>
      <w:r>
        <w:rPr>
          <w:lang w:val="en-GB"/>
        </w:rPr>
        <w:t xml:space="preserve">functionalities for </w:t>
      </w:r>
      <w:r w:rsidR="00ED2238">
        <w:rPr>
          <w:lang w:val="en-GB"/>
        </w:rPr>
        <w:t xml:space="preserve">high throughput </w:t>
      </w:r>
      <w:r>
        <w:rPr>
          <w:lang w:val="en-GB"/>
        </w:rPr>
        <w:t xml:space="preserve">data </w:t>
      </w:r>
      <w:r w:rsidR="000E0E37">
        <w:rPr>
          <w:lang w:val="en-GB"/>
        </w:rPr>
        <w:t>reception</w:t>
      </w:r>
      <w:r w:rsidR="00420658">
        <w:rPr>
          <w:lang w:val="en-GB"/>
        </w:rPr>
        <w:t xml:space="preserve"> (and transmission)</w:t>
      </w:r>
      <w:r>
        <w:rPr>
          <w:lang w:val="en-GB"/>
        </w:rPr>
        <w:t>. Evidently, the active power consumption for BWP1 would be significantly lower than BWP2.</w:t>
      </w:r>
    </w:p>
    <w:p w14:paraId="0E946B23" w14:textId="790EAA54" w:rsidR="00AB123C" w:rsidRDefault="00AB123C" w:rsidP="00991F68">
      <w:pPr>
        <w:rPr>
          <w:lang w:val="en-GB"/>
        </w:rPr>
      </w:pPr>
      <w:r w:rsidRPr="00AB123C">
        <w:rPr>
          <w:noProof/>
        </w:rPr>
        <w:drawing>
          <wp:inline distT="0" distB="0" distL="0" distR="0" wp14:anchorId="272FE97D" wp14:editId="4C681DD5">
            <wp:extent cx="4736592" cy="1508760"/>
            <wp:effectExtent l="0" t="0" r="0" b="0"/>
            <wp:docPr id="15" name="Picture 14">
              <a:extLst xmlns:a="http://schemas.openxmlformats.org/drawingml/2006/main">
                <a:ext uri="{FF2B5EF4-FFF2-40B4-BE49-F238E27FC236}">
                  <a16:creationId xmlns:a16="http://schemas.microsoft.com/office/drawing/2014/main" id="{517564A1-BEFF-405D-BFFE-14C093727B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17564A1-BEFF-405D-BFFE-14C093727B79}"/>
                        </a:ext>
                      </a:extLst>
                    </pic:cNvPr>
                    <pic:cNvPicPr>
                      <a:picLocks noChangeAspect="1"/>
                    </pic:cNvPicPr>
                  </pic:nvPicPr>
                  <pic:blipFill>
                    <a:blip r:embed="rId20"/>
                    <a:stretch>
                      <a:fillRect/>
                    </a:stretch>
                  </pic:blipFill>
                  <pic:spPr>
                    <a:xfrm>
                      <a:off x="0" y="0"/>
                      <a:ext cx="4736592" cy="1508760"/>
                    </a:xfrm>
                    <a:prstGeom prst="rect">
                      <a:avLst/>
                    </a:prstGeom>
                  </pic:spPr>
                </pic:pic>
              </a:graphicData>
            </a:graphic>
          </wp:inline>
        </w:drawing>
      </w:r>
    </w:p>
    <w:p w14:paraId="42A94D54" w14:textId="3C40C3DE" w:rsidR="00AB123C" w:rsidRDefault="008F44CA" w:rsidP="00991F68">
      <w:pPr>
        <w:rPr>
          <w:lang w:val="en-GB"/>
        </w:rPr>
      </w:pPr>
      <w:r>
        <w:rPr>
          <w:lang w:val="en-GB"/>
        </w:rPr>
        <w:t>For each DRX cycle, UE starts with BWP1 at the beginning of ON duration, and monitors PDCCH at relatively low power</w:t>
      </w:r>
      <w:r w:rsidR="00327C3F">
        <w:rPr>
          <w:lang w:val="en-GB"/>
        </w:rPr>
        <w:t xml:space="preserve"> consumption</w:t>
      </w:r>
      <w:r>
        <w:rPr>
          <w:lang w:val="en-GB"/>
        </w:rPr>
        <w:t>. There are two scenarios for the UE:</w:t>
      </w:r>
    </w:p>
    <w:p w14:paraId="4B7B4FB1" w14:textId="66C8EACA" w:rsidR="008F44CA" w:rsidRPr="008F44CA" w:rsidRDefault="008F44CA" w:rsidP="008F44CA">
      <w:pPr>
        <w:pStyle w:val="ListParagraph"/>
        <w:numPr>
          <w:ilvl w:val="0"/>
          <w:numId w:val="25"/>
        </w:numPr>
      </w:pPr>
      <w:r w:rsidRPr="008F44CA">
        <w:t xml:space="preserve">No data for </w:t>
      </w:r>
      <w:r w:rsidR="00327C3F">
        <w:t xml:space="preserve">the </w:t>
      </w:r>
      <w:r w:rsidRPr="008F44CA">
        <w:t>DRX cycle</w:t>
      </w:r>
    </w:p>
    <w:p w14:paraId="54AD1F34" w14:textId="79EF53B2" w:rsidR="008F44CA" w:rsidRDefault="008F44CA" w:rsidP="008F44CA">
      <w:pPr>
        <w:pStyle w:val="ListParagraph"/>
        <w:numPr>
          <w:ilvl w:val="1"/>
          <w:numId w:val="25"/>
        </w:numPr>
      </w:pPr>
      <w:r w:rsidRPr="008F44CA">
        <w:t>gNB does not transmit PDCCH. UE goes back to DRX at the end of ON duration</w:t>
      </w:r>
    </w:p>
    <w:p w14:paraId="6D6ADCA1" w14:textId="44E43381" w:rsidR="008F44CA" w:rsidRPr="008F44CA" w:rsidRDefault="008F44CA" w:rsidP="008F44CA">
      <w:pPr>
        <w:pStyle w:val="ListParagraph"/>
        <w:numPr>
          <w:ilvl w:val="1"/>
          <w:numId w:val="25"/>
        </w:numPr>
      </w:pPr>
      <w:r>
        <w:t xml:space="preserve">Note: </w:t>
      </w:r>
      <w:r w:rsidRPr="008F44CA">
        <w:t xml:space="preserve">Possible to </w:t>
      </w:r>
      <w:r>
        <w:t xml:space="preserve">support </w:t>
      </w:r>
      <w:r w:rsidRPr="008F44CA">
        <w:t>serv</w:t>
      </w:r>
      <w:r>
        <w:t>ing</w:t>
      </w:r>
      <w:r w:rsidRPr="008F44CA">
        <w:t xml:space="preserve"> </w:t>
      </w:r>
      <w:r>
        <w:t xml:space="preserve">small amount of </w:t>
      </w:r>
      <w:r w:rsidRPr="008F44CA">
        <w:t>data in BWP1 w</w:t>
      </w:r>
      <w:r w:rsidR="00327C3F">
        <w:t>ith</w:t>
      </w:r>
      <w:r w:rsidRPr="008F44CA">
        <w:t>o</w:t>
      </w:r>
      <w:r w:rsidR="00327C3F">
        <w:t>ut</w:t>
      </w:r>
      <w:r w:rsidRPr="008F44CA">
        <w:t xml:space="preserve"> switching</w:t>
      </w:r>
      <w:r w:rsidR="006218A1">
        <w:t xml:space="preserve"> to BWP2</w:t>
      </w:r>
      <w:r>
        <w:t xml:space="preserve"> but not considered as main use case.</w:t>
      </w:r>
    </w:p>
    <w:p w14:paraId="1092E8EF" w14:textId="0198C54B" w:rsidR="008F44CA" w:rsidRPr="008F44CA" w:rsidRDefault="008F44CA" w:rsidP="008F44CA">
      <w:pPr>
        <w:pStyle w:val="ListParagraph"/>
        <w:numPr>
          <w:ilvl w:val="0"/>
          <w:numId w:val="25"/>
        </w:numPr>
      </w:pPr>
      <w:r w:rsidRPr="008F44CA">
        <w:t xml:space="preserve">Data scheduled for </w:t>
      </w:r>
      <w:r w:rsidR="00327C3F">
        <w:t xml:space="preserve">the </w:t>
      </w:r>
      <w:r w:rsidRPr="008F44CA">
        <w:t>DRX cycle</w:t>
      </w:r>
    </w:p>
    <w:p w14:paraId="3E2D2BF3" w14:textId="39ED6667" w:rsidR="008F44CA" w:rsidRPr="008F44CA" w:rsidRDefault="008F44CA" w:rsidP="008F44CA">
      <w:pPr>
        <w:pStyle w:val="ListParagraph"/>
        <w:numPr>
          <w:ilvl w:val="1"/>
          <w:numId w:val="25"/>
        </w:numPr>
      </w:pPr>
      <w:r w:rsidRPr="008F44CA">
        <w:t xml:space="preserve">gNB transmits BWP DCI to switch UE to BWP2 for data </w:t>
      </w:r>
      <w:r>
        <w:t>reception and potential HARQ-ACK transmission</w:t>
      </w:r>
    </w:p>
    <w:p w14:paraId="65FBDD92" w14:textId="77777777" w:rsidR="008F44CA" w:rsidRPr="008F44CA" w:rsidRDefault="008F44CA" w:rsidP="008F44CA">
      <w:pPr>
        <w:pStyle w:val="ListParagraph"/>
        <w:numPr>
          <w:ilvl w:val="1"/>
          <w:numId w:val="25"/>
        </w:numPr>
      </w:pPr>
      <w:r w:rsidRPr="008F44CA">
        <w:t>UE completes transition to BWP2 in k0 slots; Monitors PDCCH per-slot and decodes DL grant and DL data</w:t>
      </w:r>
    </w:p>
    <w:p w14:paraId="19C1539A" w14:textId="36C8C55F" w:rsidR="008F44CA" w:rsidRPr="008F44CA" w:rsidRDefault="008F44CA" w:rsidP="008F44CA">
      <w:pPr>
        <w:pStyle w:val="ListParagraph"/>
        <w:numPr>
          <w:ilvl w:val="1"/>
          <w:numId w:val="25"/>
        </w:numPr>
      </w:pPr>
      <w:r w:rsidRPr="008F44CA">
        <w:t xml:space="preserve">When BWP timer expires, UE switches back to default BWP and continue monitoring PDCCH, until eventually, when </w:t>
      </w:r>
      <w:r>
        <w:t xml:space="preserve">DRX </w:t>
      </w:r>
      <w:r w:rsidRPr="008F44CA">
        <w:t>inactivity timer expires and UE falls back to DRX.</w:t>
      </w:r>
    </w:p>
    <w:p w14:paraId="62014000" w14:textId="187C258D" w:rsidR="00AB123C" w:rsidRDefault="00AB123C" w:rsidP="00991F68">
      <w:pPr>
        <w:rPr>
          <w:lang w:val="en-GB"/>
        </w:rPr>
      </w:pPr>
    </w:p>
    <w:p w14:paraId="6DB94AB7" w14:textId="4DD60B4B" w:rsidR="008F44CA" w:rsidRDefault="008F44CA" w:rsidP="00991F68">
      <w:pPr>
        <w:rPr>
          <w:lang w:val="en-GB"/>
        </w:rPr>
      </w:pPr>
      <w:r>
        <w:rPr>
          <w:lang w:val="en-GB"/>
        </w:rPr>
        <w:t>For typical duration of DRX cycles (e.g. 160msec)</w:t>
      </w:r>
      <w:r w:rsidR="00DE5497">
        <w:rPr>
          <w:lang w:val="en-GB"/>
        </w:rPr>
        <w:t xml:space="preserve"> with moderate mobility</w:t>
      </w:r>
      <w:r>
        <w:rPr>
          <w:lang w:val="en-GB"/>
        </w:rPr>
        <w:t xml:space="preserve">, </w:t>
      </w:r>
      <w:r w:rsidR="00186B55">
        <w:rPr>
          <w:lang w:val="en-GB"/>
        </w:rPr>
        <w:t>channel</w:t>
      </w:r>
      <w:r>
        <w:rPr>
          <w:lang w:val="en-GB"/>
        </w:rPr>
        <w:t xml:space="preserve"> information from past cycle </w:t>
      </w:r>
      <w:r w:rsidR="00DE5497">
        <w:rPr>
          <w:lang w:val="en-GB"/>
        </w:rPr>
        <w:t>is</w:t>
      </w:r>
      <w:r>
        <w:rPr>
          <w:lang w:val="en-GB"/>
        </w:rPr>
        <w:t xml:space="preserve"> likely </w:t>
      </w:r>
      <w:r w:rsidR="00D07A62">
        <w:rPr>
          <w:lang w:val="en-GB"/>
        </w:rPr>
        <w:t xml:space="preserve">outdated </w:t>
      </w:r>
      <w:r w:rsidR="00DE5497">
        <w:rPr>
          <w:lang w:val="en-GB"/>
        </w:rPr>
        <w:t>for data scheduling in the current cycle</w:t>
      </w:r>
      <w:r>
        <w:rPr>
          <w:lang w:val="en-GB"/>
        </w:rPr>
        <w:t xml:space="preserve">. Based on similar discussion in </w:t>
      </w:r>
      <w:r>
        <w:rPr>
          <w:lang w:val="en-GB"/>
        </w:rPr>
        <w:fldChar w:fldCharType="begin"/>
      </w:r>
      <w:r>
        <w:rPr>
          <w:lang w:val="en-GB"/>
        </w:rPr>
        <w:instrText xml:space="preserve"> REF _Ref503258185 \r \h </w:instrText>
      </w:r>
      <w:r>
        <w:rPr>
          <w:lang w:val="en-GB"/>
        </w:rPr>
      </w:r>
      <w:r>
        <w:rPr>
          <w:lang w:val="en-GB"/>
        </w:rPr>
        <w:fldChar w:fldCharType="separate"/>
      </w:r>
      <w:r w:rsidR="00685646">
        <w:rPr>
          <w:lang w:val="en-GB"/>
        </w:rPr>
        <w:t>2.1.2</w:t>
      </w:r>
      <w:r>
        <w:rPr>
          <w:lang w:val="en-GB"/>
        </w:rPr>
        <w:fldChar w:fldCharType="end"/>
      </w:r>
      <w:r>
        <w:rPr>
          <w:lang w:val="en-GB"/>
        </w:rPr>
        <w:t xml:space="preserve"> and </w:t>
      </w:r>
      <w:r>
        <w:rPr>
          <w:lang w:val="en-GB"/>
        </w:rPr>
        <w:fldChar w:fldCharType="begin"/>
      </w:r>
      <w:r>
        <w:rPr>
          <w:lang w:val="en-GB"/>
        </w:rPr>
        <w:instrText xml:space="preserve"> REF _Ref498694307 \r \h </w:instrText>
      </w:r>
      <w:r>
        <w:rPr>
          <w:lang w:val="en-GB"/>
        </w:rPr>
      </w:r>
      <w:r>
        <w:rPr>
          <w:lang w:val="en-GB"/>
        </w:rPr>
        <w:fldChar w:fldCharType="separate"/>
      </w:r>
      <w:r w:rsidR="00685646">
        <w:rPr>
          <w:lang w:val="en-GB"/>
        </w:rPr>
        <w:t>2.1.5</w:t>
      </w:r>
      <w:r>
        <w:rPr>
          <w:lang w:val="en-GB"/>
        </w:rPr>
        <w:fldChar w:fldCharType="end"/>
      </w:r>
      <w:r>
        <w:rPr>
          <w:lang w:val="en-GB"/>
        </w:rPr>
        <w:t xml:space="preserve">, it would be important for the system to obtain updated </w:t>
      </w:r>
      <w:r w:rsidR="00186B55">
        <w:rPr>
          <w:lang w:val="en-GB"/>
        </w:rPr>
        <w:t>channel state information</w:t>
      </w:r>
      <w:r>
        <w:rPr>
          <w:lang w:val="en-GB"/>
        </w:rPr>
        <w:t xml:space="preserve"> </w:t>
      </w:r>
      <w:r w:rsidR="00DE5497">
        <w:rPr>
          <w:lang w:val="en-GB"/>
        </w:rPr>
        <w:t xml:space="preserve">(including updated CQI) before attempting to schedule actual data transmission to the UE. If </w:t>
      </w:r>
      <w:r w:rsidR="004C108A">
        <w:rPr>
          <w:lang w:val="en-GB"/>
        </w:rPr>
        <w:t xml:space="preserve">there is data to be scheduled to the UE for this DRX cycle, if </w:t>
      </w:r>
      <w:r w:rsidR="00DE5497">
        <w:rPr>
          <w:lang w:val="en-GB"/>
        </w:rPr>
        <w:t xml:space="preserve">the UL grant containing aperiodic CSI request can be transmitted during ON duration, potentially along with a DL DCI triggering BWP switching without scheduling, C-DRX operation can be streamlined and </w:t>
      </w:r>
      <w:r w:rsidR="00214D12">
        <w:rPr>
          <w:lang w:val="en-GB"/>
        </w:rPr>
        <w:t xml:space="preserve">very </w:t>
      </w:r>
      <w:r w:rsidR="00DE5497">
        <w:rPr>
          <w:lang w:val="en-GB"/>
        </w:rPr>
        <w:t>power-efficient.</w:t>
      </w:r>
    </w:p>
    <w:p w14:paraId="0B296D6F" w14:textId="0B1AA72E" w:rsidR="00DE5497" w:rsidRPr="00991F68" w:rsidRDefault="004342F4" w:rsidP="00991F68">
      <w:pPr>
        <w:rPr>
          <w:lang w:val="en-GB"/>
        </w:rPr>
      </w:pPr>
      <w:r w:rsidRPr="004342F4">
        <w:lastRenderedPageBreak/>
        <w:drawing>
          <wp:inline distT="0" distB="0" distL="0" distR="0" wp14:anchorId="2C1610AF" wp14:editId="53928ACF">
            <wp:extent cx="5175504" cy="11430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75504" cy="1143000"/>
                    </a:xfrm>
                    <a:prstGeom prst="rect">
                      <a:avLst/>
                    </a:prstGeom>
                  </pic:spPr>
                </pic:pic>
              </a:graphicData>
            </a:graphic>
          </wp:inline>
        </w:drawing>
      </w:r>
    </w:p>
    <w:p w14:paraId="64B003E8" w14:textId="05DA07CF" w:rsidR="00991F68" w:rsidRDefault="004342F4" w:rsidP="002B15CF">
      <w:pPr>
        <w:rPr>
          <w:lang w:val="en-GB"/>
        </w:rPr>
      </w:pPr>
      <w:r w:rsidRPr="004342F4">
        <w:drawing>
          <wp:inline distT="0" distB="0" distL="0" distR="0" wp14:anchorId="70DDC9FB" wp14:editId="2799AB04">
            <wp:extent cx="4937760" cy="16276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937760" cy="1627632"/>
                    </a:xfrm>
                    <a:prstGeom prst="rect">
                      <a:avLst/>
                    </a:prstGeom>
                  </pic:spPr>
                </pic:pic>
              </a:graphicData>
            </a:graphic>
          </wp:inline>
        </w:drawing>
      </w:r>
    </w:p>
    <w:p w14:paraId="1A2D6BC1" w14:textId="50975D00" w:rsidR="00DE5497" w:rsidRDefault="00DE5497" w:rsidP="002B15CF">
      <w:pPr>
        <w:rPr>
          <w:lang w:val="en-GB"/>
        </w:rPr>
      </w:pPr>
      <w:r>
        <w:rPr>
          <w:lang w:val="en-GB"/>
        </w:rPr>
        <w:t xml:space="preserve">In addition, aperiodic-TRS can also be </w:t>
      </w:r>
      <w:r w:rsidR="001909DC">
        <w:rPr>
          <w:lang w:val="en-GB"/>
        </w:rPr>
        <w:t>trigger</w:t>
      </w:r>
      <w:r w:rsidR="00214D12">
        <w:rPr>
          <w:lang w:val="en-GB"/>
        </w:rPr>
        <w:t xml:space="preserve">ed </w:t>
      </w:r>
      <w:r>
        <w:rPr>
          <w:lang w:val="en-GB"/>
        </w:rPr>
        <w:t xml:space="preserve">by DCI </w:t>
      </w:r>
      <w:r w:rsidR="00214D12">
        <w:rPr>
          <w:lang w:val="en-GB"/>
        </w:rPr>
        <w:t xml:space="preserve">transmitted </w:t>
      </w:r>
      <w:r>
        <w:rPr>
          <w:lang w:val="en-GB"/>
        </w:rPr>
        <w:t>during the ON duration, if network expects to schedule data to the UE during this DRX cycle.</w:t>
      </w:r>
    </w:p>
    <w:p w14:paraId="273B518B" w14:textId="59D7BBDD" w:rsidR="00C21AB7" w:rsidRDefault="00862017" w:rsidP="002B15CF">
      <w:pPr>
        <w:rPr>
          <w:lang w:val="en-GB"/>
        </w:rPr>
      </w:pPr>
      <w:r>
        <w:rPr>
          <w:lang w:val="en-GB"/>
        </w:rPr>
        <w:t xml:space="preserve">Above C-DRX operation is a concrete scheme that takes full advantage of BWP adaptation. In NR, it is envisioned that C-DRX would be configured for most of the applications </w:t>
      </w:r>
      <w:r w:rsidR="00214D12">
        <w:rPr>
          <w:lang w:val="en-GB"/>
        </w:rPr>
        <w:t xml:space="preserve">/ </w:t>
      </w:r>
      <w:r>
        <w:rPr>
          <w:lang w:val="en-GB"/>
        </w:rPr>
        <w:t>use cases for power saving. Therefore, it is crucial to consider BWP and C-DRX operation jointly.</w:t>
      </w:r>
    </w:p>
    <w:p w14:paraId="578CE7DC" w14:textId="1429BC1D" w:rsidR="00DE5497" w:rsidRDefault="00DE5497" w:rsidP="002B15CF">
      <w:pPr>
        <w:rPr>
          <w:lang w:val="en-GB"/>
        </w:rPr>
      </w:pPr>
    </w:p>
    <w:p w14:paraId="20224FD9" w14:textId="3F7C24E0" w:rsidR="00132B5A" w:rsidRDefault="00132B5A" w:rsidP="00132B5A">
      <w:pPr>
        <w:pStyle w:val="Heading3"/>
      </w:pPr>
      <w:bookmarkStart w:id="366" w:name="_Ref503311242"/>
      <w:bookmarkStart w:id="367" w:name="_Hlk503490596"/>
      <w:r>
        <w:t>Aperiodic CSI Measurement and BWP Transition</w:t>
      </w:r>
      <w:bookmarkEnd w:id="366"/>
    </w:p>
    <w:bookmarkEnd w:id="367"/>
    <w:p w14:paraId="32C22C89" w14:textId="5D515F36" w:rsidR="002427AF" w:rsidRDefault="00642E9F">
      <w:pPr>
        <w:rPr>
          <w:lang w:val="en-GB"/>
        </w:rPr>
      </w:pPr>
      <w:r>
        <w:rPr>
          <w:lang w:val="en-GB"/>
        </w:rPr>
        <w:t xml:space="preserve">In current specification </w:t>
      </w:r>
      <w:r>
        <w:rPr>
          <w:lang w:val="en-GB"/>
        </w:rPr>
        <w:fldChar w:fldCharType="begin"/>
      </w:r>
      <w:r>
        <w:rPr>
          <w:lang w:val="en-GB"/>
        </w:rPr>
        <w:instrText xml:space="preserve"> REF _Ref503538761 \r \h </w:instrText>
      </w:r>
      <w:r>
        <w:rPr>
          <w:lang w:val="en-GB"/>
        </w:rPr>
      </w:r>
      <w:r>
        <w:rPr>
          <w:lang w:val="en-GB"/>
        </w:rPr>
        <w:fldChar w:fldCharType="separate"/>
      </w:r>
      <w:r w:rsidR="00685646">
        <w:rPr>
          <w:lang w:val="en-GB"/>
        </w:rPr>
        <w:t>[6]</w:t>
      </w:r>
      <w:r>
        <w:rPr>
          <w:lang w:val="en-GB"/>
        </w:rPr>
        <w:fldChar w:fldCharType="end"/>
      </w:r>
      <w:r>
        <w:rPr>
          <w:lang w:val="en-GB"/>
        </w:rPr>
        <w:t>, u</w:t>
      </w:r>
      <w:r w:rsidR="0045567D">
        <w:rPr>
          <w:lang w:val="en-GB"/>
        </w:rPr>
        <w:t xml:space="preserve">nless an optional </w:t>
      </w:r>
      <w:r w:rsidRPr="00642E9F">
        <w:rPr>
          <w:lang w:val="en-GB"/>
        </w:rPr>
        <w:t xml:space="preserve">higher layer parameter </w:t>
      </w:r>
      <w:r w:rsidRPr="00FA27B9">
        <w:rPr>
          <w:i/>
          <w:lang w:val="en-GB"/>
        </w:rPr>
        <w:t>AperiodicNZP-CSI-RS-TriggeringOffset</w:t>
      </w:r>
      <w:r w:rsidR="00132B5A">
        <w:rPr>
          <w:lang w:val="en-GB"/>
        </w:rPr>
        <w:t xml:space="preserve"> is </w:t>
      </w:r>
      <w:r w:rsidR="0045567D">
        <w:rPr>
          <w:lang w:val="en-GB"/>
        </w:rPr>
        <w:t>configured</w:t>
      </w:r>
      <w:r w:rsidR="00132B5A">
        <w:rPr>
          <w:lang w:val="en-GB"/>
        </w:rPr>
        <w:t xml:space="preserve"> to be </w:t>
      </w:r>
      <w:r w:rsidR="0045567D">
        <w:rPr>
          <w:lang w:val="en-GB"/>
        </w:rPr>
        <w:t>non-zero, a</w:t>
      </w:r>
      <w:r w:rsidR="00132B5A">
        <w:rPr>
          <w:lang w:val="en-GB"/>
        </w:rPr>
        <w:t xml:space="preserve">periodic CSI </w:t>
      </w:r>
      <w:r>
        <w:rPr>
          <w:lang w:val="en-GB"/>
        </w:rPr>
        <w:t>transmission</w:t>
      </w:r>
      <w:r w:rsidR="00132B5A">
        <w:rPr>
          <w:lang w:val="en-GB"/>
        </w:rPr>
        <w:t xml:space="preserve"> applie</w:t>
      </w:r>
      <w:r>
        <w:rPr>
          <w:lang w:val="en-GB"/>
        </w:rPr>
        <w:t>s</w:t>
      </w:r>
      <w:r w:rsidR="00132B5A">
        <w:rPr>
          <w:lang w:val="en-GB"/>
        </w:rPr>
        <w:t xml:space="preserve"> to the same slot as the DCI that triggers the request. This may result in </w:t>
      </w:r>
      <w:r w:rsidR="002427AF">
        <w:rPr>
          <w:lang w:val="en-GB"/>
        </w:rPr>
        <w:t xml:space="preserve">two types of ambiguity or </w:t>
      </w:r>
      <w:r w:rsidR="00132B5A">
        <w:rPr>
          <w:lang w:val="en-GB"/>
        </w:rPr>
        <w:t>conflict if the DCI also triggers BWP transition</w:t>
      </w:r>
      <w:r w:rsidR="002427AF">
        <w:rPr>
          <w:lang w:val="en-GB"/>
        </w:rPr>
        <w:t xml:space="preserve">. First, if BWP switching is </w:t>
      </w:r>
      <w:r w:rsidR="0032287E">
        <w:rPr>
          <w:lang w:val="en-GB"/>
        </w:rPr>
        <w:t xml:space="preserve">simultaneously </w:t>
      </w:r>
      <w:r w:rsidR="002427AF">
        <w:rPr>
          <w:lang w:val="en-GB"/>
        </w:rPr>
        <w:t xml:space="preserve">being triggered, it makes more sense that A-CSI request should be applied to the new BWP, instead of the </w:t>
      </w:r>
      <w:r w:rsidR="003170FD">
        <w:rPr>
          <w:lang w:val="en-GB"/>
        </w:rPr>
        <w:t>original BWP</w:t>
      </w:r>
      <w:r w:rsidR="002427AF">
        <w:rPr>
          <w:lang w:val="en-GB"/>
        </w:rPr>
        <w:t xml:space="preserve">. Second, </w:t>
      </w:r>
      <w:r w:rsidR="00132B5A">
        <w:rPr>
          <w:lang w:val="en-GB"/>
        </w:rPr>
        <w:t>during BWP transition, UE’s receiver is not expected to be operational</w:t>
      </w:r>
      <w:r w:rsidR="002427AF">
        <w:rPr>
          <w:lang w:val="en-GB"/>
        </w:rPr>
        <w:t xml:space="preserve">. </w:t>
      </w:r>
      <w:r w:rsidR="00280B88">
        <w:rPr>
          <w:lang w:val="en-GB"/>
        </w:rPr>
        <w:t>If a</w:t>
      </w:r>
      <w:r w:rsidR="002427AF">
        <w:rPr>
          <w:lang w:val="en-GB"/>
        </w:rPr>
        <w:t xml:space="preserve">periodic CSI-RS </w:t>
      </w:r>
      <w:r w:rsidR="00280B88">
        <w:rPr>
          <w:lang w:val="en-GB"/>
        </w:rPr>
        <w:t xml:space="preserve">is </w:t>
      </w:r>
      <w:r w:rsidR="00EC7D46">
        <w:rPr>
          <w:lang w:val="en-GB"/>
        </w:rPr>
        <w:t>transmitted</w:t>
      </w:r>
      <w:r w:rsidR="002427AF">
        <w:rPr>
          <w:lang w:val="en-GB"/>
        </w:rPr>
        <w:t xml:space="preserve"> </w:t>
      </w:r>
      <w:r w:rsidR="0032287E">
        <w:rPr>
          <w:lang w:val="en-GB"/>
        </w:rPr>
        <w:t xml:space="preserve">by the gNB </w:t>
      </w:r>
      <w:r w:rsidR="002427AF">
        <w:rPr>
          <w:lang w:val="en-GB"/>
        </w:rPr>
        <w:t>in the same slot as the DCI</w:t>
      </w:r>
      <w:r w:rsidR="00280B88">
        <w:rPr>
          <w:lang w:val="en-GB"/>
        </w:rPr>
        <w:t>, UE may not be able to receive it</w:t>
      </w:r>
      <w:r w:rsidR="002427AF">
        <w:rPr>
          <w:lang w:val="en-GB"/>
        </w:rPr>
        <w:t>. Combining both observations, aperiodic CSI-RS should be transmitted in the new BWP after BWP transition time</w:t>
      </w:r>
      <w:r w:rsidR="003853A0">
        <w:rPr>
          <w:lang w:val="en-GB"/>
        </w:rPr>
        <w:t>, and CSI measurement should be performed on the new BWP.</w:t>
      </w:r>
    </w:p>
    <w:p w14:paraId="2988A611" w14:textId="4A7A5693" w:rsidR="00132B5A" w:rsidRDefault="00132B5A" w:rsidP="00132B5A">
      <w:pPr>
        <w:rPr>
          <w:lang w:val="en-GB"/>
        </w:rPr>
      </w:pPr>
      <w:r>
        <w:rPr>
          <w:lang w:val="en-GB"/>
        </w:rPr>
        <w:t xml:space="preserve">In the case that BWP switching is triggered by a DL scheduling DCI, BWP transition time is </w:t>
      </w:r>
      <w:r w:rsidR="002427AF">
        <w:rPr>
          <w:lang w:val="en-GB"/>
        </w:rPr>
        <w:t>upperbound</w:t>
      </w:r>
      <w:r w:rsidR="005B63F6">
        <w:rPr>
          <w:lang w:val="en-GB"/>
        </w:rPr>
        <w:t>ed</w:t>
      </w:r>
      <w:r w:rsidR="002427AF">
        <w:rPr>
          <w:lang w:val="en-GB"/>
        </w:rPr>
        <w:t xml:space="preserve"> by the k0 parameter which is </w:t>
      </w:r>
      <w:r>
        <w:rPr>
          <w:lang w:val="en-GB"/>
        </w:rPr>
        <w:t xml:space="preserve">explicitly signalled </w:t>
      </w:r>
      <w:r w:rsidR="002427AF">
        <w:rPr>
          <w:lang w:val="en-GB"/>
        </w:rPr>
        <w:t>in the DCI</w:t>
      </w:r>
      <w:r>
        <w:rPr>
          <w:lang w:val="en-GB"/>
        </w:rPr>
        <w:t xml:space="preserve">. In the case that BWP switching is triggered by an UL scheduling DCI, the k2 parameter explicitly signalled in the DCI indicates the PUSCH transmission time, </w:t>
      </w:r>
      <w:r w:rsidR="001B5941">
        <w:rPr>
          <w:lang w:val="en-GB"/>
        </w:rPr>
        <w:t xml:space="preserve">BWP transition </w:t>
      </w:r>
      <w:r>
        <w:rPr>
          <w:lang w:val="en-GB"/>
        </w:rPr>
        <w:t xml:space="preserve">is </w:t>
      </w:r>
      <w:r w:rsidR="002427AF">
        <w:rPr>
          <w:lang w:val="en-GB"/>
        </w:rPr>
        <w:t xml:space="preserve">still </w:t>
      </w:r>
      <w:r w:rsidR="001B5941">
        <w:rPr>
          <w:lang w:val="en-GB"/>
        </w:rPr>
        <w:t>expected to be completed within a time that is related to UE’s capability for BWP transition as well as NW’s choice. It makes sense that such a</w:t>
      </w:r>
      <w:r w:rsidR="001224F5">
        <w:rPr>
          <w:lang w:val="en-GB"/>
        </w:rPr>
        <w:t>n upperbound on</w:t>
      </w:r>
      <w:r w:rsidR="001B5941">
        <w:rPr>
          <w:lang w:val="en-GB"/>
        </w:rPr>
        <w:t xml:space="preserve"> </w:t>
      </w:r>
      <w:r w:rsidR="001224F5">
        <w:rPr>
          <w:lang w:val="en-GB"/>
        </w:rPr>
        <w:t xml:space="preserve">BWP transition time </w:t>
      </w:r>
      <w:r w:rsidR="001B5941">
        <w:rPr>
          <w:lang w:val="en-GB"/>
        </w:rPr>
        <w:t xml:space="preserve">would be conveyed from the gNB to UE as a semi-statically configured k0 </w:t>
      </w:r>
      <w:r w:rsidR="001224F5">
        <w:rPr>
          <w:lang w:val="en-GB"/>
        </w:rPr>
        <w:t>parameter</w:t>
      </w:r>
      <w:r w:rsidR="001B5941">
        <w:rPr>
          <w:lang w:val="en-GB"/>
        </w:rPr>
        <w:t>. It has also been agreed that such semi-statically configured value would be BWP-specific.</w:t>
      </w:r>
      <w:r w:rsidR="002427AF">
        <w:rPr>
          <w:lang w:val="en-GB"/>
        </w:rPr>
        <w:t xml:space="preserve"> UE expect</w:t>
      </w:r>
      <w:r w:rsidR="003D6598">
        <w:rPr>
          <w:lang w:val="en-GB"/>
        </w:rPr>
        <w:t>s</w:t>
      </w:r>
      <w:r w:rsidR="002427AF">
        <w:rPr>
          <w:lang w:val="en-GB"/>
        </w:rPr>
        <w:t xml:space="preserve"> that it does not need to receive or transmit during k0 </w:t>
      </w:r>
      <w:r w:rsidR="005B63F6">
        <w:rPr>
          <w:lang w:val="en-GB"/>
        </w:rPr>
        <w:t>duration</w:t>
      </w:r>
      <w:r w:rsidR="002427AF">
        <w:rPr>
          <w:lang w:val="en-GB"/>
        </w:rPr>
        <w:t xml:space="preserve"> when BWP transition is in progress. If multiple k0 values are semi-statically configured, UE may assume using the smallest value for BWP transition time determination.</w:t>
      </w:r>
    </w:p>
    <w:p w14:paraId="3953B0F1" w14:textId="288B7BBB" w:rsidR="005B63F6" w:rsidRDefault="005B63F6" w:rsidP="005B63F6">
      <w:pPr>
        <w:pStyle w:val="Caption"/>
      </w:pPr>
      <w:bookmarkStart w:id="368" w:name="_Toc503313779"/>
      <w:bookmarkStart w:id="369" w:name="_Toc503464750"/>
      <w:bookmarkStart w:id="370" w:name="_Toc503486505"/>
      <w:bookmarkStart w:id="371" w:name="_Toc503488685"/>
      <w:bookmarkStart w:id="372" w:name="_Toc503489519"/>
      <w:bookmarkStart w:id="373" w:name="_Toc503490988"/>
      <w:bookmarkStart w:id="374" w:name="_Toc503491327"/>
      <w:bookmarkStart w:id="375" w:name="_Toc503534871"/>
      <w:bookmarkStart w:id="376" w:name="_Toc503538756"/>
      <w:bookmarkStart w:id="377" w:name="_Toc503539940"/>
      <w:bookmarkStart w:id="378" w:name="_Toc503540006"/>
      <w:bookmarkStart w:id="379" w:name="_Toc503542184"/>
      <w:bookmarkStart w:id="380" w:name="_Toc503545889"/>
      <w:bookmarkStart w:id="381" w:name="_Toc503545905"/>
      <w:bookmarkStart w:id="382" w:name="_Hlk503490754"/>
      <w:bookmarkStart w:id="383" w:name="_Hlk503490789"/>
      <w:bookmarkStart w:id="384" w:name="_Toc503547098"/>
      <w:bookmarkStart w:id="385" w:name="_Toc503547231"/>
      <w:bookmarkStart w:id="386" w:name="_Toc503547810"/>
      <w:bookmarkStart w:id="387" w:name="_Toc503552119"/>
      <w:bookmarkStart w:id="388" w:name="_Toc503553242"/>
      <w:r>
        <w:t xml:space="preserve">Proposal </w:t>
      </w:r>
      <w:r w:rsidR="001E1392">
        <w:fldChar w:fldCharType="begin"/>
      </w:r>
      <w:r w:rsidR="001E1392">
        <w:instrText xml:space="preserve"> SEQ Proposal \* ARABIC </w:instrText>
      </w:r>
      <w:r w:rsidR="001E1392">
        <w:fldChar w:fldCharType="separate"/>
      </w:r>
      <w:r w:rsidR="00685646">
        <w:rPr>
          <w:noProof/>
        </w:rPr>
        <w:t>13</w:t>
      </w:r>
      <w:r w:rsidR="001E1392">
        <w:rPr>
          <w:noProof/>
        </w:rPr>
        <w:fldChar w:fldCharType="end"/>
      </w:r>
      <w:r>
        <w:t xml:space="preserve">: UE expects aperiodic CSI-RS </w:t>
      </w:r>
      <w:r w:rsidR="009C6AB1">
        <w:t>triggered</w:t>
      </w:r>
      <w:r>
        <w:t xml:space="preserve"> by an UL scheduling DCI would be transmitted in </w:t>
      </w:r>
      <w:r w:rsidR="00F2538E">
        <w:t xml:space="preserve">a </w:t>
      </w:r>
      <w:r>
        <w:t xml:space="preserve">slot </w:t>
      </w:r>
      <w:r w:rsidR="00F2538E">
        <w:t xml:space="preserve">whose offset from the DCI is based on </w:t>
      </w:r>
      <w:r w:rsidR="009C6AB1">
        <w:t>k0</w:t>
      </w:r>
      <w:r>
        <w:t xml:space="preserve">. </w:t>
      </w:r>
      <w:r w:rsidR="00EC7D46">
        <w:t>If k0 is not dynamically indicated, it is determined to be the smallest of the set of semi-statically configured values.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4"/>
      <w:bookmarkEnd w:id="385"/>
      <w:bookmarkEnd w:id="386"/>
      <w:bookmarkEnd w:id="387"/>
      <w:bookmarkEnd w:id="388"/>
    </w:p>
    <w:p w14:paraId="1487F707" w14:textId="2D63473D" w:rsidR="00EC7D46" w:rsidRPr="00A139E2" w:rsidRDefault="00EC7D46" w:rsidP="00FA27B9">
      <w:pPr>
        <w:pStyle w:val="Caption"/>
      </w:pPr>
      <w:bookmarkStart w:id="389" w:name="_Toc503313780"/>
      <w:bookmarkStart w:id="390" w:name="_Toc503464751"/>
      <w:bookmarkStart w:id="391" w:name="_Toc503486506"/>
      <w:bookmarkStart w:id="392" w:name="_Toc503488686"/>
      <w:bookmarkStart w:id="393" w:name="_Toc503489520"/>
      <w:bookmarkStart w:id="394" w:name="_Toc503490989"/>
      <w:bookmarkStart w:id="395" w:name="_Toc503491328"/>
      <w:bookmarkStart w:id="396" w:name="_Toc503534872"/>
      <w:bookmarkStart w:id="397" w:name="_Toc503538757"/>
      <w:bookmarkStart w:id="398" w:name="_Toc503539941"/>
      <w:bookmarkStart w:id="399" w:name="_Toc503540007"/>
      <w:bookmarkStart w:id="400" w:name="_Toc503542185"/>
      <w:bookmarkStart w:id="401" w:name="_Toc503545890"/>
      <w:bookmarkStart w:id="402" w:name="_Toc503545906"/>
      <w:bookmarkStart w:id="403" w:name="_Toc503547099"/>
      <w:bookmarkStart w:id="404" w:name="_Toc503547232"/>
      <w:bookmarkStart w:id="405" w:name="_Toc503547811"/>
      <w:bookmarkStart w:id="406" w:name="_Toc503552120"/>
      <w:bookmarkStart w:id="407" w:name="_Toc503553243"/>
      <w:r>
        <w:t xml:space="preserve">Proposal </w:t>
      </w:r>
      <w:r w:rsidR="001E1392">
        <w:fldChar w:fldCharType="begin"/>
      </w:r>
      <w:r w:rsidR="001E1392">
        <w:instrText xml:space="preserve"> SEQ Proposal \* ARABIC </w:instrText>
      </w:r>
      <w:r w:rsidR="001E1392">
        <w:fldChar w:fldCharType="separate"/>
      </w:r>
      <w:r w:rsidR="00685646">
        <w:rPr>
          <w:noProof/>
        </w:rPr>
        <w:t>14</w:t>
      </w:r>
      <w:r w:rsidR="001E1392">
        <w:rPr>
          <w:noProof/>
        </w:rPr>
        <w:fldChar w:fldCharType="end"/>
      </w:r>
      <w:r>
        <w:t xml:space="preserve">: If aperiodic CSI request is triggered </w:t>
      </w:r>
      <w:r w:rsidR="008949CE">
        <w:t>simultaneously with</w:t>
      </w:r>
      <w:r>
        <w:t xml:space="preserve"> BWP switching</w:t>
      </w:r>
      <w:r w:rsidR="008B1DB2">
        <w:t xml:space="preserve"> (either by the same DCI or separate DCI in the same slot)</w:t>
      </w:r>
      <w:r>
        <w:t xml:space="preserve">, CSI-RS </w:t>
      </w:r>
      <w:r w:rsidR="00CE2801">
        <w:t xml:space="preserve">measurement should be </w:t>
      </w:r>
      <w:r w:rsidR="003D6598">
        <w:t>performed</w:t>
      </w:r>
      <w:r w:rsidR="00CE2801">
        <w:t xml:space="preserve"> on the target </w:t>
      </w:r>
      <w:r w:rsidR="00C96030">
        <w:t xml:space="preserve">DL </w:t>
      </w:r>
      <w:r w:rsidR="00CE2801">
        <w:t>BWP</w:t>
      </w:r>
      <w:r w:rsidR="00376A24">
        <w:t xml:space="preserve"> </w:t>
      </w:r>
      <w:r w:rsidR="00C96030">
        <w:t xml:space="preserve">after </w:t>
      </w:r>
      <w:r w:rsidR="00376A24">
        <w:t xml:space="preserve">k0 slots, and reporting </w:t>
      </w:r>
      <w:r w:rsidR="00C96030">
        <w:t xml:space="preserve">in the UL BWP </w:t>
      </w:r>
      <w:r w:rsidR="00807F6F">
        <w:t xml:space="preserve">which could be </w:t>
      </w:r>
      <w:r w:rsidR="00C96030">
        <w:t xml:space="preserve">associated with the target DL BWP </w:t>
      </w:r>
      <w:r w:rsidR="00807F6F">
        <w:t xml:space="preserve">in the case of </w:t>
      </w:r>
      <w:r w:rsidR="00C96030">
        <w:t>unpaired spectrum</w:t>
      </w:r>
      <w:r w:rsidR="00807F6F">
        <w:t xml:space="preserve"> operation</w:t>
      </w:r>
      <w:r w:rsidR="00C96030">
        <w:t xml:space="preserve"> after </w:t>
      </w:r>
      <w:r w:rsidR="00376A24">
        <w:t>k2 slots</w:t>
      </w:r>
      <w:r w:rsidR="00CE2801">
        <w:t>.</w:t>
      </w:r>
      <w:r w:rsidR="00100E73">
        <w:t xml:space="preserve"> UE expects that k0 is not larger than k2.</w:t>
      </w:r>
      <w:bookmarkEnd w:id="382"/>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bookmarkEnd w:id="383"/>
    <w:p w14:paraId="7700518B" w14:textId="77777777" w:rsidR="00777A4B" w:rsidRDefault="00777A4B" w:rsidP="002B15CF">
      <w:pPr>
        <w:rPr>
          <w:lang w:val="en-GB"/>
        </w:rPr>
      </w:pPr>
    </w:p>
    <w:p w14:paraId="0F30BAAD" w14:textId="38CAF50B" w:rsidR="00132B5A" w:rsidRDefault="00777A4B" w:rsidP="002B15CF">
      <w:pPr>
        <w:rPr>
          <w:lang w:val="en-GB"/>
        </w:rPr>
      </w:pPr>
      <w:r>
        <w:rPr>
          <w:lang w:val="en-GB"/>
        </w:rPr>
        <w:t xml:space="preserve">It should be further discussed how the dependence on k0 and k2 values for A-CSI transmission timing for the condition where A-CSI request is triggered simultaneously with BWP transition may interact with the higher layer parameter </w:t>
      </w:r>
      <w:r w:rsidRPr="0069627B">
        <w:rPr>
          <w:i/>
          <w:lang w:val="en-GB"/>
        </w:rPr>
        <w:lastRenderedPageBreak/>
        <w:t>AperiodicNZP-CSI-RS-TriggeringOffset</w:t>
      </w:r>
      <w:r>
        <w:rPr>
          <w:lang w:val="en-GB"/>
        </w:rPr>
        <w:t xml:space="preserve">. One approach is to consider that k0 and k2 overrides the parameter for such condition. A-CSI measurement timing is still a topic for active discussion, and more issues are discussed in our companion contribution </w:t>
      </w:r>
      <w:r>
        <w:rPr>
          <w:lang w:val="en-GB"/>
        </w:rPr>
        <w:fldChar w:fldCharType="begin"/>
      </w:r>
      <w:r>
        <w:rPr>
          <w:lang w:val="en-GB"/>
        </w:rPr>
        <w:instrText xml:space="preserve"> REF _Ref503539380 \r \h </w:instrText>
      </w:r>
      <w:r>
        <w:rPr>
          <w:lang w:val="en-GB"/>
        </w:rPr>
      </w:r>
      <w:r>
        <w:rPr>
          <w:lang w:val="en-GB"/>
        </w:rPr>
        <w:fldChar w:fldCharType="separate"/>
      </w:r>
      <w:r w:rsidR="00685646">
        <w:rPr>
          <w:lang w:val="en-GB"/>
        </w:rPr>
        <w:t>[9]</w:t>
      </w:r>
      <w:r>
        <w:rPr>
          <w:lang w:val="en-GB"/>
        </w:rPr>
        <w:fldChar w:fldCharType="end"/>
      </w:r>
      <w:r>
        <w:rPr>
          <w:lang w:val="en-GB"/>
        </w:rPr>
        <w:t>.</w:t>
      </w:r>
    </w:p>
    <w:p w14:paraId="09E77EF1" w14:textId="77777777" w:rsidR="00777A4B" w:rsidRDefault="00777A4B" w:rsidP="002B15CF">
      <w:pPr>
        <w:rPr>
          <w:lang w:val="en-GB"/>
        </w:rPr>
      </w:pPr>
    </w:p>
    <w:p w14:paraId="7FC37C2D" w14:textId="0A1172B7" w:rsidR="00AF1DE5" w:rsidRDefault="006B0FC1" w:rsidP="00AF1DE5">
      <w:pPr>
        <w:pStyle w:val="Heading3"/>
      </w:pPr>
      <w:r>
        <w:t>BWP Transition Timeline</w:t>
      </w:r>
    </w:p>
    <w:p w14:paraId="5A6A7B45" w14:textId="511DCA91" w:rsidR="006B0FC1" w:rsidRDefault="006B0FC1" w:rsidP="006B0FC1">
      <w:pPr>
        <w:rPr>
          <w:lang w:val="en-GB"/>
        </w:rPr>
      </w:pPr>
      <w:r>
        <w:rPr>
          <w:lang w:val="en-GB"/>
        </w:rPr>
        <w:t xml:space="preserve">BWP switching latency, which is the end-to-end latency from the time the scheduling DCI indicates BWP change, to the time </w:t>
      </w:r>
      <w:r w:rsidR="00C42E80">
        <w:rPr>
          <w:lang w:val="en-GB"/>
        </w:rPr>
        <w:t>RF is ready to operate in</w:t>
      </w:r>
      <w:r>
        <w:rPr>
          <w:lang w:val="en-GB"/>
        </w:rPr>
        <w:t xml:space="preserve"> the new BWP, has to be known by gNB. The end-to-end latency can be broken down into two main parts:</w:t>
      </w:r>
    </w:p>
    <w:p w14:paraId="4206A8AA" w14:textId="43C22ECE" w:rsidR="006B0FC1" w:rsidRDefault="00D4039F" w:rsidP="006B0FC1">
      <w:pPr>
        <w:pStyle w:val="ListParagraph"/>
        <w:numPr>
          <w:ilvl w:val="0"/>
          <w:numId w:val="21"/>
        </w:numPr>
      </w:pPr>
      <w:r>
        <w:t xml:space="preserve">Processing </w:t>
      </w:r>
      <w:r w:rsidR="006B0FC1">
        <w:t>latency – This latency is mainly due to DCI processing</w:t>
      </w:r>
      <w:r>
        <w:t xml:space="preserve"> and other</w:t>
      </w:r>
      <w:r w:rsidR="006B0FC1">
        <w:t xml:space="preserve"> delay. During this time, RF may still be able to operate in the original BWP.</w:t>
      </w:r>
    </w:p>
    <w:p w14:paraId="7A5ADA5F" w14:textId="4BC9F463" w:rsidR="006B0FC1" w:rsidRPr="006B0FC1" w:rsidRDefault="006B0FC1" w:rsidP="006B0FC1">
      <w:pPr>
        <w:pStyle w:val="ListParagraph"/>
        <w:numPr>
          <w:ilvl w:val="0"/>
          <w:numId w:val="21"/>
        </w:numPr>
      </w:pPr>
      <w:r>
        <w:t>RF transition latency – During this time, RF is retuning and not capable of receiving (or transmitting)</w:t>
      </w:r>
    </w:p>
    <w:p w14:paraId="3E5C08D9" w14:textId="07FABE9E" w:rsidR="006B0FC1" w:rsidRDefault="006B0FC1" w:rsidP="006B0FC1">
      <w:pPr>
        <w:pStyle w:val="Caption"/>
      </w:pPr>
    </w:p>
    <w:p w14:paraId="37BE6BE3" w14:textId="4F3E86A6" w:rsidR="00F86BCE" w:rsidRDefault="00F86BCE" w:rsidP="00F86BCE">
      <w:pPr>
        <w:rPr>
          <w:lang w:val="en-GB"/>
        </w:rPr>
      </w:pPr>
      <w:r>
        <w:rPr>
          <w:lang w:val="en-GB"/>
        </w:rPr>
        <w:t>In RAN1 #91, the following agreement on BWP transition latency was made</w:t>
      </w:r>
      <w:r w:rsidR="00114353">
        <w:rPr>
          <w:lang w:val="en-GB"/>
        </w:rPr>
        <w:t xml:space="preserve"> </w:t>
      </w:r>
      <w:r w:rsidR="00114353">
        <w:rPr>
          <w:lang w:val="en-GB"/>
        </w:rPr>
        <w:fldChar w:fldCharType="begin"/>
      </w:r>
      <w:r w:rsidR="00114353">
        <w:rPr>
          <w:lang w:val="en-GB"/>
        </w:rPr>
        <w:instrText xml:space="preserve"> REF _Ref503268227 \r \h </w:instrText>
      </w:r>
      <w:r w:rsidR="00114353">
        <w:rPr>
          <w:lang w:val="en-GB"/>
        </w:rPr>
      </w:r>
      <w:r w:rsidR="00114353">
        <w:rPr>
          <w:lang w:val="en-GB"/>
        </w:rPr>
        <w:fldChar w:fldCharType="separate"/>
      </w:r>
      <w:r w:rsidR="00685646">
        <w:rPr>
          <w:lang w:val="en-GB"/>
        </w:rPr>
        <w:t>[4]</w:t>
      </w:r>
      <w:r w:rsidR="00114353">
        <w:rPr>
          <w:lang w:val="en-GB"/>
        </w:rPr>
        <w:fldChar w:fldCharType="end"/>
      </w:r>
      <w:r>
        <w:rPr>
          <w:lang w:val="en-GB"/>
        </w:rPr>
        <w:t>:</w:t>
      </w:r>
    </w:p>
    <w:p w14:paraId="1F3DB0DE" w14:textId="77777777" w:rsidR="00F86BCE" w:rsidRDefault="00F86BCE" w:rsidP="00F86BCE">
      <w:pPr>
        <w:numPr>
          <w:ilvl w:val="0"/>
          <w:numId w:val="26"/>
        </w:numPr>
        <w:overflowPunct/>
        <w:autoSpaceDE/>
        <w:autoSpaceDN/>
        <w:adjustRightInd/>
        <w:spacing w:after="0"/>
        <w:ind w:left="567" w:hanging="207"/>
        <w:textAlignment w:val="auto"/>
        <w:rPr>
          <w:lang w:eastAsia="zh-TW"/>
        </w:rPr>
      </w:pPr>
      <w:r>
        <w:rPr>
          <w:lang w:eastAsia="zh-TW"/>
        </w:rPr>
        <w:t>The value range of the transition time(s) of active BWP switching are up to RAN4 and it’s also up to RAN4 to decide whether the transition time(s) of active BWP switching is reported to the network as dedicated UE capability or not.</w:t>
      </w:r>
    </w:p>
    <w:p w14:paraId="35AF640F" w14:textId="77777777" w:rsidR="00F86BCE" w:rsidRPr="00F86BCE" w:rsidRDefault="00F86BCE" w:rsidP="00FA27B9"/>
    <w:p w14:paraId="4426441C" w14:textId="5BCE8E42" w:rsidR="00F86BCE" w:rsidRDefault="00F86BCE" w:rsidP="006B0FC1">
      <w:r>
        <w:t>While transition latency would be determined by RAN4, there are other aspects related to BWP transition that RAN1 should consider.</w:t>
      </w:r>
    </w:p>
    <w:p w14:paraId="3CB4A0AD" w14:textId="04BF90E5" w:rsidR="006B0FC1" w:rsidRDefault="00C42E80" w:rsidP="006B0FC1">
      <w:r>
        <w:t>In the BWP switching DCI, new BWP is indicated, and end-to-end latency is accounted for in k0 / k2 delay, quantized into slots:</w:t>
      </w:r>
    </w:p>
    <w:p w14:paraId="3E529AAA" w14:textId="77777777" w:rsidR="00C42E80" w:rsidRPr="00C42E80" w:rsidRDefault="00C42E80" w:rsidP="00C42E80">
      <w:pPr>
        <w:pStyle w:val="ListParagraph"/>
        <w:numPr>
          <w:ilvl w:val="0"/>
          <w:numId w:val="22"/>
        </w:numPr>
      </w:pPr>
      <w:r w:rsidRPr="00C42E80">
        <w:t>DL grant case: k0 delay</w:t>
      </w:r>
    </w:p>
    <w:p w14:paraId="02044EBE" w14:textId="77777777" w:rsidR="00C42E80" w:rsidRPr="00C42E80" w:rsidRDefault="00C42E80" w:rsidP="00C42E80">
      <w:pPr>
        <w:pStyle w:val="ListParagraph"/>
        <w:numPr>
          <w:ilvl w:val="1"/>
          <w:numId w:val="22"/>
        </w:numPr>
      </w:pPr>
      <w:r w:rsidRPr="00C42E80">
        <w:t>PDSCH and subsequent ACK should be in new BWP</w:t>
      </w:r>
    </w:p>
    <w:p w14:paraId="7A4D8079" w14:textId="77777777" w:rsidR="00C42E80" w:rsidRPr="00C42E80" w:rsidRDefault="00C42E80" w:rsidP="00C42E80">
      <w:pPr>
        <w:pStyle w:val="ListParagraph"/>
        <w:numPr>
          <w:ilvl w:val="2"/>
          <w:numId w:val="22"/>
        </w:numPr>
      </w:pPr>
      <w:r w:rsidRPr="00C42E80">
        <w:t>TDD: new DL/UL BWP pair</w:t>
      </w:r>
    </w:p>
    <w:p w14:paraId="0A469DAB" w14:textId="0B8A7B1E" w:rsidR="00C42E80" w:rsidRPr="00C42E80" w:rsidRDefault="00C42E80" w:rsidP="00C42E80">
      <w:pPr>
        <w:pStyle w:val="ListParagraph"/>
        <w:numPr>
          <w:ilvl w:val="2"/>
          <w:numId w:val="22"/>
        </w:numPr>
      </w:pPr>
      <w:r w:rsidRPr="00C42E80">
        <w:t xml:space="preserve">FDD: PDSCH in new DL BWP; ACK in </w:t>
      </w:r>
      <w:r w:rsidR="00D4039F">
        <w:t>same</w:t>
      </w:r>
      <w:r w:rsidR="00D4039F" w:rsidRPr="00C42E80">
        <w:t xml:space="preserve"> </w:t>
      </w:r>
      <w:r w:rsidRPr="00C42E80">
        <w:t>UL BWP</w:t>
      </w:r>
    </w:p>
    <w:p w14:paraId="521B6F54" w14:textId="77777777" w:rsidR="00C42E80" w:rsidRPr="00C42E80" w:rsidRDefault="00C42E80" w:rsidP="00C42E80">
      <w:pPr>
        <w:pStyle w:val="ListParagraph"/>
        <w:numPr>
          <w:ilvl w:val="0"/>
          <w:numId w:val="22"/>
        </w:numPr>
      </w:pPr>
      <w:r w:rsidRPr="00C42E80">
        <w:t>UL grant case: k2 delay</w:t>
      </w:r>
    </w:p>
    <w:p w14:paraId="1B31255A" w14:textId="018ACAED" w:rsidR="00C42E80" w:rsidRPr="006B0FC1" w:rsidRDefault="00C42E80" w:rsidP="00C42E80">
      <w:pPr>
        <w:pStyle w:val="ListParagraph"/>
        <w:numPr>
          <w:ilvl w:val="1"/>
          <w:numId w:val="22"/>
        </w:numPr>
      </w:pPr>
      <w:r w:rsidRPr="00C42E80">
        <w:t>PUSCH is in new UL BWP</w:t>
      </w:r>
    </w:p>
    <w:p w14:paraId="5A718282" w14:textId="77777777" w:rsidR="00643DD1" w:rsidRDefault="00643DD1" w:rsidP="006B0FC1">
      <w:pPr>
        <w:rPr>
          <w:lang w:val="en-GB"/>
        </w:rPr>
      </w:pPr>
    </w:p>
    <w:p w14:paraId="628BFF1E" w14:textId="6A881AB5" w:rsidR="006B0FC1" w:rsidRDefault="00643DD1" w:rsidP="006B0FC1">
      <w:pPr>
        <w:rPr>
          <w:lang w:val="en-GB"/>
        </w:rPr>
      </w:pPr>
      <w:r>
        <w:rPr>
          <w:lang w:val="en-GB"/>
        </w:rPr>
        <w:t xml:space="preserve">The following figures illustrate the timeline of BWP switching. </w:t>
      </w:r>
      <w:r w:rsidR="0022175D">
        <w:rPr>
          <w:lang w:val="en-GB"/>
        </w:rPr>
        <w:t xml:space="preserve">The color scheme mainly identifies different BWP. </w:t>
      </w:r>
      <w:r>
        <w:rPr>
          <w:lang w:val="en-GB"/>
        </w:rPr>
        <w:t xml:space="preserve">The k0, k1, k2 values are arbitrary; They are mostly set to keep the diagram compact. </w:t>
      </w:r>
      <w:r w:rsidRPr="00643DD1">
        <w:rPr>
          <w:lang w:val="en-GB"/>
        </w:rPr>
        <w:t>RAN4 has determined RF transition time of 50~200 microseconds for BWP act</w:t>
      </w:r>
      <w:r>
        <w:rPr>
          <w:lang w:val="en-GB"/>
        </w:rPr>
        <w:t>ivation within the same band</w:t>
      </w:r>
      <w:r w:rsidR="007C15C1">
        <w:rPr>
          <w:lang w:val="en-GB"/>
        </w:rPr>
        <w:t xml:space="preserve"> </w:t>
      </w:r>
      <w:r w:rsidR="007C15C1">
        <w:rPr>
          <w:lang w:val="en-GB"/>
        </w:rPr>
        <w:fldChar w:fldCharType="begin"/>
      </w:r>
      <w:r w:rsidR="007C15C1">
        <w:rPr>
          <w:lang w:val="en-GB"/>
        </w:rPr>
        <w:instrText xml:space="preserve"> REF _Ref503268074 \r \h </w:instrText>
      </w:r>
      <w:r w:rsidR="007C15C1">
        <w:rPr>
          <w:lang w:val="en-GB"/>
        </w:rPr>
      </w:r>
      <w:r w:rsidR="007C15C1">
        <w:rPr>
          <w:lang w:val="en-GB"/>
        </w:rPr>
        <w:fldChar w:fldCharType="separate"/>
      </w:r>
      <w:r w:rsidR="00685646">
        <w:rPr>
          <w:lang w:val="en-GB"/>
        </w:rPr>
        <w:t>[2]</w:t>
      </w:r>
      <w:r w:rsidR="007C15C1">
        <w:rPr>
          <w:lang w:val="en-GB"/>
        </w:rPr>
        <w:fldChar w:fldCharType="end"/>
      </w:r>
      <w:r w:rsidRPr="00643DD1">
        <w:rPr>
          <w:lang w:val="en-GB"/>
        </w:rPr>
        <w:t xml:space="preserve">. </w:t>
      </w:r>
      <w:r>
        <w:rPr>
          <w:lang w:val="en-GB"/>
        </w:rPr>
        <w:t>Then for sub-slot RF switching latency, the slot duration likely cannot be smaller than 250 usec, i.e. the SCS considered for these illustrations could be 30kHz down to 15kHz; For higher SCS, RF transition latency could span multiple slots.</w:t>
      </w:r>
    </w:p>
    <w:p w14:paraId="1AAAF036" w14:textId="660354DF" w:rsidR="00C42E80" w:rsidRDefault="00C42E80" w:rsidP="00FA27B9">
      <w:pPr>
        <w:overflowPunct/>
        <w:autoSpaceDE/>
        <w:autoSpaceDN/>
        <w:adjustRightInd/>
        <w:spacing w:after="0"/>
        <w:textAlignment w:val="auto"/>
        <w:rPr>
          <w:lang w:val="en-GB"/>
        </w:rPr>
      </w:pPr>
      <w:r>
        <w:rPr>
          <w:lang w:val="en-GB"/>
        </w:rPr>
        <w:t xml:space="preserve">For unpaired spectrum, </w:t>
      </w:r>
    </w:p>
    <w:tbl>
      <w:tblPr>
        <w:tblStyle w:val="TableGrid"/>
        <w:tblW w:w="0" w:type="auto"/>
        <w:tblLook w:val="04A0" w:firstRow="1" w:lastRow="0" w:firstColumn="1" w:lastColumn="0" w:noHBand="0" w:noVBand="1"/>
      </w:tblPr>
      <w:tblGrid>
        <w:gridCol w:w="5441"/>
        <w:gridCol w:w="4187"/>
      </w:tblGrid>
      <w:tr w:rsidR="00C42E80" w14:paraId="7498A9F6" w14:textId="77777777" w:rsidTr="00FA27B9">
        <w:trPr>
          <w:cantSplit/>
        </w:trPr>
        <w:tc>
          <w:tcPr>
            <w:tcW w:w="5466" w:type="dxa"/>
          </w:tcPr>
          <w:p w14:paraId="4D383977" w14:textId="605DF2B8" w:rsidR="00C42E80" w:rsidRDefault="00C42E80" w:rsidP="006B0FC1">
            <w:pPr>
              <w:rPr>
                <w:lang w:val="en-GB"/>
              </w:rPr>
            </w:pPr>
            <w:r>
              <w:rPr>
                <w:lang w:val="en-GB"/>
              </w:rPr>
              <w:t>BWP switch triggered by DL grant</w:t>
            </w:r>
          </w:p>
          <w:p w14:paraId="59CB691A" w14:textId="09CAEFB0" w:rsidR="00C42E80" w:rsidRDefault="00C42E80" w:rsidP="006B0FC1">
            <w:pPr>
              <w:rPr>
                <w:lang w:val="en-GB"/>
              </w:rPr>
            </w:pPr>
            <w:r>
              <w:rPr>
                <w:noProof/>
              </w:rPr>
              <w:drawing>
                <wp:inline distT="0" distB="0" distL="0" distR="0" wp14:anchorId="4959E36A" wp14:editId="1876475B">
                  <wp:extent cx="3324225" cy="16192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324225" cy="1619250"/>
                          </a:xfrm>
                          <a:prstGeom prst="rect">
                            <a:avLst/>
                          </a:prstGeom>
                        </pic:spPr>
                      </pic:pic>
                    </a:graphicData>
                  </a:graphic>
                </wp:inline>
              </w:drawing>
            </w:r>
          </w:p>
        </w:tc>
        <w:tc>
          <w:tcPr>
            <w:tcW w:w="4162" w:type="dxa"/>
          </w:tcPr>
          <w:p w14:paraId="145A91A5" w14:textId="61C2467A" w:rsidR="00C42E80" w:rsidRDefault="00C42E80" w:rsidP="006B0FC1">
            <w:pPr>
              <w:rPr>
                <w:lang w:val="en-GB"/>
              </w:rPr>
            </w:pPr>
            <w:r>
              <w:rPr>
                <w:lang w:val="en-GB"/>
              </w:rPr>
              <w:t>BWP switch triggered by UL grant</w:t>
            </w:r>
          </w:p>
          <w:p w14:paraId="6B8BFDE8" w14:textId="7A87E880" w:rsidR="00C42E80" w:rsidRDefault="00643DD1" w:rsidP="006B0FC1">
            <w:pPr>
              <w:rPr>
                <w:lang w:val="en-GB"/>
              </w:rPr>
            </w:pPr>
            <w:r>
              <w:rPr>
                <w:noProof/>
              </w:rPr>
              <w:drawing>
                <wp:inline distT="0" distB="0" distL="0" distR="0" wp14:anchorId="4AEF5D87" wp14:editId="5BE3D497">
                  <wp:extent cx="2524125" cy="16192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524125" cy="1619250"/>
                          </a:xfrm>
                          <a:prstGeom prst="rect">
                            <a:avLst/>
                          </a:prstGeom>
                        </pic:spPr>
                      </pic:pic>
                    </a:graphicData>
                  </a:graphic>
                </wp:inline>
              </w:drawing>
            </w:r>
          </w:p>
        </w:tc>
      </w:tr>
    </w:tbl>
    <w:p w14:paraId="28DBD451" w14:textId="036E31B2" w:rsidR="00C42E80" w:rsidRDefault="00C42E80" w:rsidP="006B0FC1">
      <w:pPr>
        <w:rPr>
          <w:lang w:val="en-GB"/>
        </w:rPr>
      </w:pPr>
    </w:p>
    <w:p w14:paraId="35753190" w14:textId="2A9B811C" w:rsidR="00C42E80" w:rsidRDefault="00C42E80" w:rsidP="006B0FC1">
      <w:pPr>
        <w:rPr>
          <w:lang w:val="en-GB"/>
        </w:rPr>
      </w:pPr>
      <w:r>
        <w:rPr>
          <w:lang w:val="en-GB"/>
        </w:rPr>
        <w:t>For paired spectrum,</w:t>
      </w:r>
    </w:p>
    <w:tbl>
      <w:tblPr>
        <w:tblStyle w:val="TableGrid"/>
        <w:tblW w:w="0" w:type="auto"/>
        <w:tblLook w:val="04A0" w:firstRow="1" w:lastRow="0" w:firstColumn="1" w:lastColumn="0" w:noHBand="0" w:noVBand="1"/>
      </w:tblPr>
      <w:tblGrid>
        <w:gridCol w:w="5441"/>
        <w:gridCol w:w="4187"/>
      </w:tblGrid>
      <w:tr w:rsidR="00C42E80" w14:paraId="2D295A48" w14:textId="77777777" w:rsidTr="00FA27B9">
        <w:trPr>
          <w:cantSplit/>
        </w:trPr>
        <w:tc>
          <w:tcPr>
            <w:tcW w:w="4814" w:type="dxa"/>
          </w:tcPr>
          <w:p w14:paraId="14F572DB" w14:textId="77777777" w:rsidR="00C42E80" w:rsidRDefault="00C42E80" w:rsidP="006B0FC1">
            <w:pPr>
              <w:rPr>
                <w:lang w:val="en-GB"/>
              </w:rPr>
            </w:pPr>
            <w:r>
              <w:rPr>
                <w:lang w:val="en-GB"/>
              </w:rPr>
              <w:t>DL BWP switching triggered by DL grant</w:t>
            </w:r>
          </w:p>
          <w:p w14:paraId="3981A13D" w14:textId="5099B617" w:rsidR="00C42E80" w:rsidRDefault="00C42E80" w:rsidP="006B0FC1">
            <w:pPr>
              <w:rPr>
                <w:lang w:val="en-GB"/>
              </w:rPr>
            </w:pPr>
            <w:r>
              <w:rPr>
                <w:noProof/>
              </w:rPr>
              <w:drawing>
                <wp:inline distT="0" distB="0" distL="0" distR="0" wp14:anchorId="33EB737D" wp14:editId="6ABA41CC">
                  <wp:extent cx="3324225" cy="2076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324225" cy="2076450"/>
                          </a:xfrm>
                          <a:prstGeom prst="rect">
                            <a:avLst/>
                          </a:prstGeom>
                        </pic:spPr>
                      </pic:pic>
                    </a:graphicData>
                  </a:graphic>
                </wp:inline>
              </w:drawing>
            </w:r>
          </w:p>
        </w:tc>
        <w:tc>
          <w:tcPr>
            <w:tcW w:w="4814" w:type="dxa"/>
          </w:tcPr>
          <w:p w14:paraId="293EB974" w14:textId="77777777" w:rsidR="00C42E80" w:rsidRDefault="00C42E80" w:rsidP="006B0FC1">
            <w:pPr>
              <w:rPr>
                <w:lang w:val="en-GB"/>
              </w:rPr>
            </w:pPr>
            <w:r>
              <w:rPr>
                <w:lang w:val="en-GB"/>
              </w:rPr>
              <w:t>UL BWP switching triggered by UL grant</w:t>
            </w:r>
          </w:p>
          <w:p w14:paraId="3D136C2A" w14:textId="4519BA07" w:rsidR="00C42E80" w:rsidRDefault="00643DD1" w:rsidP="006B0FC1">
            <w:pPr>
              <w:rPr>
                <w:lang w:val="en-GB"/>
              </w:rPr>
            </w:pPr>
            <w:r>
              <w:rPr>
                <w:noProof/>
              </w:rPr>
              <w:drawing>
                <wp:inline distT="0" distB="0" distL="0" distR="0" wp14:anchorId="07026D5F" wp14:editId="032A8C4A">
                  <wp:extent cx="252412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524125" cy="2076450"/>
                          </a:xfrm>
                          <a:prstGeom prst="rect">
                            <a:avLst/>
                          </a:prstGeom>
                        </pic:spPr>
                      </pic:pic>
                    </a:graphicData>
                  </a:graphic>
                </wp:inline>
              </w:drawing>
            </w:r>
          </w:p>
        </w:tc>
      </w:tr>
    </w:tbl>
    <w:p w14:paraId="2AB4D216" w14:textId="497204E7" w:rsidR="00C42E80" w:rsidRDefault="00C42E80" w:rsidP="006B0FC1">
      <w:pPr>
        <w:rPr>
          <w:lang w:val="en-GB"/>
        </w:rPr>
      </w:pPr>
    </w:p>
    <w:p w14:paraId="3632EA2F" w14:textId="02CB0159" w:rsidR="00643DD1" w:rsidRDefault="009938ED" w:rsidP="006B0FC1">
      <w:pPr>
        <w:rPr>
          <w:lang w:val="en-GB"/>
        </w:rPr>
      </w:pPr>
      <w:r>
        <w:rPr>
          <w:lang w:val="en-GB"/>
        </w:rPr>
        <w:t xml:space="preserve">To avoid complicated conflicts due to multiple BWP switching DCI overlapping with each other, BWP switching should </w:t>
      </w:r>
      <w:r w:rsidR="003839B6">
        <w:rPr>
          <w:lang w:val="en-GB"/>
        </w:rPr>
        <w:t xml:space="preserve">ideally be </w:t>
      </w:r>
      <w:r>
        <w:rPr>
          <w:lang w:val="en-GB"/>
        </w:rPr>
        <w:t>serialized and some portion of the timeline should be protected</w:t>
      </w:r>
      <w:r w:rsidR="003839B6">
        <w:rPr>
          <w:lang w:val="en-GB"/>
        </w:rPr>
        <w:t xml:space="preserve"> from being </w:t>
      </w:r>
      <w:r w:rsidR="00D4039F">
        <w:rPr>
          <w:lang w:val="en-GB"/>
        </w:rPr>
        <w:t xml:space="preserve">interrupted </w:t>
      </w:r>
      <w:r w:rsidR="003839B6">
        <w:rPr>
          <w:lang w:val="en-GB"/>
        </w:rPr>
        <w:t>by another BWP switching event.</w:t>
      </w:r>
    </w:p>
    <w:p w14:paraId="640679D3" w14:textId="0B67FCF7" w:rsidR="009938ED" w:rsidRDefault="009938ED" w:rsidP="009938ED">
      <w:pPr>
        <w:pStyle w:val="Caption"/>
        <w:rPr>
          <w:lang w:val="en-GB"/>
        </w:rPr>
      </w:pPr>
      <w:bookmarkStart w:id="408" w:name="_Toc498715973"/>
      <w:bookmarkStart w:id="409" w:name="_Toc498716647"/>
      <w:bookmarkStart w:id="410" w:name="_Toc498717153"/>
      <w:bookmarkStart w:id="411" w:name="_Toc498717292"/>
      <w:bookmarkStart w:id="412" w:name="_Toc498717538"/>
      <w:bookmarkStart w:id="413" w:name="_Toc498720188"/>
      <w:bookmarkStart w:id="414" w:name="_Toc503105512"/>
      <w:bookmarkStart w:id="415" w:name="_Toc503105524"/>
      <w:bookmarkStart w:id="416" w:name="_Toc503105534"/>
      <w:bookmarkStart w:id="417" w:name="_Toc503105651"/>
      <w:bookmarkStart w:id="418" w:name="_Toc503260720"/>
      <w:bookmarkStart w:id="419" w:name="_Toc503267962"/>
      <w:bookmarkStart w:id="420" w:name="_Toc503268143"/>
      <w:bookmarkStart w:id="421" w:name="_Toc503268193"/>
      <w:bookmarkStart w:id="422" w:name="_Toc503268221"/>
      <w:bookmarkStart w:id="423" w:name="_Toc503282499"/>
      <w:bookmarkStart w:id="424" w:name="_Toc503313781"/>
      <w:bookmarkStart w:id="425" w:name="_Toc503464752"/>
      <w:bookmarkStart w:id="426" w:name="_Toc503486507"/>
      <w:bookmarkStart w:id="427" w:name="_Toc503488687"/>
      <w:bookmarkStart w:id="428" w:name="_Toc503489521"/>
      <w:bookmarkStart w:id="429" w:name="_Toc503490990"/>
      <w:bookmarkStart w:id="430" w:name="_Toc503491329"/>
      <w:bookmarkStart w:id="431" w:name="_Toc503534873"/>
      <w:bookmarkStart w:id="432" w:name="_Toc503538758"/>
      <w:bookmarkStart w:id="433" w:name="_Toc503539942"/>
      <w:bookmarkStart w:id="434" w:name="_Toc503540008"/>
      <w:bookmarkStart w:id="435" w:name="_Toc503542186"/>
      <w:bookmarkStart w:id="436" w:name="_Toc503545891"/>
      <w:bookmarkStart w:id="437" w:name="_Toc503545907"/>
      <w:bookmarkStart w:id="438" w:name="_Toc503547100"/>
      <w:bookmarkStart w:id="439" w:name="_Toc503547233"/>
      <w:bookmarkStart w:id="440" w:name="_Toc503547812"/>
      <w:bookmarkStart w:id="441" w:name="_Toc503552121"/>
      <w:bookmarkStart w:id="442" w:name="_Toc503553244"/>
      <w:r>
        <w:t xml:space="preserve">Proposal </w:t>
      </w:r>
      <w:r w:rsidR="001E1392">
        <w:fldChar w:fldCharType="begin"/>
      </w:r>
      <w:r w:rsidR="001E1392">
        <w:instrText xml:space="preserve"> SEQ Proposal \* ARABIC </w:instrText>
      </w:r>
      <w:r w:rsidR="001E1392">
        <w:fldChar w:fldCharType="separate"/>
      </w:r>
      <w:r w:rsidR="00685646">
        <w:rPr>
          <w:noProof/>
        </w:rPr>
        <w:t>15</w:t>
      </w:r>
      <w:r w:rsidR="001E1392">
        <w:rPr>
          <w:noProof/>
        </w:rPr>
        <w:fldChar w:fldCharType="end"/>
      </w:r>
      <w:r>
        <w:t>: Some restriction is needed on BWP switching taking into account the stages of the timeline to avoid complicated conflict scenarios.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91C4117" w14:textId="1060D234" w:rsidR="00AB5595" w:rsidRDefault="00AB5595" w:rsidP="006E0113">
      <w:pPr>
        <w:rPr>
          <w:lang w:val="en-GB"/>
        </w:rPr>
      </w:pPr>
    </w:p>
    <w:p w14:paraId="128CA0EF" w14:textId="77777777" w:rsidR="00FE5B02" w:rsidRDefault="00FE5B02" w:rsidP="00FE5B02">
      <w:pPr>
        <w:pStyle w:val="Heading3"/>
      </w:pPr>
      <w:bookmarkStart w:id="443" w:name="_Ref503487966"/>
      <w:r>
        <w:t>Default UL BWP for Paired Spectrum</w:t>
      </w:r>
      <w:bookmarkEnd w:id="443"/>
    </w:p>
    <w:p w14:paraId="480F7389" w14:textId="4E034DB1" w:rsidR="002F3885" w:rsidRDefault="00FE5B02" w:rsidP="00FE5B02">
      <w:pPr>
        <w:rPr>
          <w:lang w:val="en-GB"/>
        </w:rPr>
      </w:pPr>
      <w:r>
        <w:rPr>
          <w:lang w:val="en-GB"/>
        </w:rPr>
        <w:t xml:space="preserve">Per </w:t>
      </w:r>
      <w:r w:rsidR="00777A4B">
        <w:rPr>
          <w:lang w:val="en-GB"/>
        </w:rPr>
        <w:t>RAN1</w:t>
      </w:r>
      <w:r>
        <w:rPr>
          <w:lang w:val="en-GB"/>
        </w:rPr>
        <w:t xml:space="preserve"> agreements, for unpaired spectrum, default DL/UL BWP is defined. For unpaired spectrum, default DL BWP is defined; Default UL BWP is not defined.</w:t>
      </w:r>
    </w:p>
    <w:p w14:paraId="73721D47" w14:textId="77777777" w:rsidR="00FE5B02" w:rsidRDefault="00FE5B02" w:rsidP="00FE5B02">
      <w:pPr>
        <w:rPr>
          <w:lang w:val="en-GB"/>
        </w:rPr>
      </w:pPr>
      <w:r>
        <w:rPr>
          <w:lang w:val="en-GB"/>
        </w:rPr>
        <w:t>This is because default DL BWP is motivated by BWP timer fallback in case of gNB and UE out-of-sync in terms of their understanding of the active BWP. It is critical to ensure both sides can fallback to the same DL BWP so that DL control channel can be communicated. For unpaired spectrum, switching of DL BWP implies switching of UL BWP, so there is a default UL BWP concept as well. For paired spectrum, there is no need to define default UL BWP for BWP timer fallback operation. This is still valid technically speaking.</w:t>
      </w:r>
    </w:p>
    <w:p w14:paraId="5DBE198A" w14:textId="60A9B349" w:rsidR="002F3885" w:rsidRDefault="002F3885" w:rsidP="002F3885">
      <w:r>
        <w:t>In RAN1 #91, the following conclusion has been made regarding default UL BWP</w:t>
      </w:r>
      <w:r w:rsidR="00114353">
        <w:t xml:space="preserve"> </w:t>
      </w:r>
      <w:r w:rsidR="00114353">
        <w:fldChar w:fldCharType="begin"/>
      </w:r>
      <w:r w:rsidR="00114353">
        <w:instrText xml:space="preserve"> REF _Ref503268227 \r \h </w:instrText>
      </w:r>
      <w:r w:rsidR="00114353">
        <w:fldChar w:fldCharType="separate"/>
      </w:r>
      <w:r w:rsidR="00685646">
        <w:t>[4]</w:t>
      </w:r>
      <w:r w:rsidR="00114353">
        <w:fldChar w:fldCharType="end"/>
      </w:r>
      <w:r>
        <w:t>:</w:t>
      </w:r>
    </w:p>
    <w:p w14:paraId="60E6AC7B" w14:textId="77777777" w:rsidR="002F3885" w:rsidRDefault="002F3885" w:rsidP="002F3885">
      <w:pPr>
        <w:numPr>
          <w:ilvl w:val="0"/>
          <w:numId w:val="26"/>
        </w:numPr>
        <w:overflowPunct/>
        <w:autoSpaceDE/>
        <w:autoSpaceDN/>
        <w:adjustRightInd/>
        <w:spacing w:after="0"/>
        <w:ind w:left="567" w:hanging="215"/>
        <w:textAlignment w:val="auto"/>
        <w:rPr>
          <w:lang w:eastAsia="zh-TW"/>
        </w:rPr>
      </w:pPr>
      <w:r>
        <w:rPr>
          <w:lang w:eastAsia="zh-TW"/>
        </w:rPr>
        <w:t>It’s up to RAN2’s decision on any remaining issues regarding to BWP operation interaction with C-DRX</w:t>
      </w:r>
    </w:p>
    <w:p w14:paraId="0C73D35D" w14:textId="77777777" w:rsidR="002F3885" w:rsidRDefault="002F3885" w:rsidP="002F3885">
      <w:pPr>
        <w:numPr>
          <w:ilvl w:val="1"/>
          <w:numId w:val="26"/>
        </w:numPr>
        <w:overflowPunct/>
        <w:autoSpaceDE/>
        <w:autoSpaceDN/>
        <w:adjustRightInd/>
        <w:spacing w:after="0"/>
        <w:ind w:hanging="357"/>
        <w:textAlignment w:val="auto"/>
        <w:rPr>
          <w:lang w:eastAsia="zh-TW"/>
        </w:rPr>
      </w:pPr>
      <w:r>
        <w:rPr>
          <w:lang w:eastAsia="zh-TW"/>
        </w:rPr>
        <w:t>It’s also up to RAN2’s decision whether it’s necessary to define default UL BWP in paired spectrum</w:t>
      </w:r>
    </w:p>
    <w:p w14:paraId="595B71D2" w14:textId="77777777" w:rsidR="002F3885" w:rsidRDefault="002F3885" w:rsidP="00FE5B02"/>
    <w:p w14:paraId="5F1C5288" w14:textId="54E010E6" w:rsidR="00FE5B02" w:rsidRDefault="00FE5B02" w:rsidP="00FE5B02">
      <w:r>
        <w:t xml:space="preserve">Overall, lack of definition of default UL BWP creates some nuance in spec writing, especially for RAN2. For mainly semantics purpose, we can define default UL BWP for paired spectrum to be simply the UL BWP sharing the same BWP index as the default DL BWP. </w:t>
      </w:r>
      <w:r w:rsidR="00D17725">
        <w:t xml:space="preserve">It </w:t>
      </w:r>
      <w:r w:rsidR="006110B2">
        <w:t>would be</w:t>
      </w:r>
      <w:r w:rsidR="00D17725">
        <w:t xml:space="preserve"> </w:t>
      </w:r>
      <w:r w:rsidR="006110B2">
        <w:t xml:space="preserve">gNB </w:t>
      </w:r>
      <w:r w:rsidR="00D17725">
        <w:t>responsibility to configure default UL BWP if default DL BWP is configured</w:t>
      </w:r>
      <w:r w:rsidR="006110B2">
        <w:t>;</w:t>
      </w:r>
      <w:r w:rsidR="00D17725">
        <w:t xml:space="preserve"> Because there has to be at least one UL BWP</w:t>
      </w:r>
      <w:r w:rsidR="006110B2">
        <w:t>, it is always possible to designate one UL BWP as the default.</w:t>
      </w:r>
      <w:r w:rsidR="00D17725">
        <w:t xml:space="preserve"> </w:t>
      </w:r>
      <w:r w:rsidR="006110B2">
        <w:t xml:space="preserve">Similar to default DL BWP, if default UL BWP is not explicitly configured, it is assumed to be the initial active UL BWP. </w:t>
      </w:r>
      <w:r>
        <w:t>We can assume that for the paired spectrum case, BWP timer expiration does not trigger UL BWP transition to default UL BWP, unless an issue or a compelling use case is identified later in the CR phase of standardization.</w:t>
      </w:r>
    </w:p>
    <w:p w14:paraId="32F52391" w14:textId="77777777" w:rsidR="00430CD1" w:rsidRDefault="00430CD1" w:rsidP="00FE5B02"/>
    <w:p w14:paraId="28901F30" w14:textId="07EC6D9A" w:rsidR="00FE5B02" w:rsidRDefault="00430CD1" w:rsidP="00430CD1">
      <w:pPr>
        <w:pStyle w:val="Heading2"/>
      </w:pPr>
      <w:r>
        <w:lastRenderedPageBreak/>
        <w:t xml:space="preserve">UE Feature </w:t>
      </w:r>
      <w:r w:rsidR="004F0548">
        <w:t>Related</w:t>
      </w:r>
    </w:p>
    <w:p w14:paraId="1A80272E" w14:textId="35EEF7DC" w:rsidR="00D14D0C" w:rsidRDefault="005C6502" w:rsidP="00D14D0C">
      <w:pPr>
        <w:pStyle w:val="Heading3"/>
      </w:pPr>
      <w:r>
        <w:t>BWP Adaptation Option Types</w:t>
      </w:r>
    </w:p>
    <w:p w14:paraId="085EE015" w14:textId="5AD203E8" w:rsidR="00283B67" w:rsidRDefault="00371C1D" w:rsidP="00323273">
      <w:pPr>
        <w:rPr>
          <w:lang w:val="en-GB"/>
        </w:rPr>
      </w:pPr>
      <w:r>
        <w:rPr>
          <w:lang w:val="en-GB"/>
        </w:rPr>
        <w:t>The basic aspect of BWP is already deeply intertwined with the NR physical layer specification. Therefore, basic BWP operation should be a mandatory feature in Rel-15. Basic BWP operation refers to a single pair of DL/UL BWP configuration, and does not support dynamic BWP switching based on DCI.</w:t>
      </w:r>
    </w:p>
    <w:p w14:paraId="0835E4F9" w14:textId="03CC4683" w:rsidR="00371C1D" w:rsidRDefault="00371C1D" w:rsidP="00323273">
      <w:pPr>
        <w:rPr>
          <w:lang w:val="en-GB"/>
        </w:rPr>
      </w:pPr>
      <w:r>
        <w:rPr>
          <w:lang w:val="en-GB"/>
        </w:rPr>
        <w:t>Next level of complexity for BWP operation is associated with supporting BWP adaptation by dynamic BWP switching. Also, in terms of BWP configuration, whether common search space, PRACH resource, SSB are configured within each BWP or not, greatly affects the complexity of the implementation on both the gNB and UE side. In addition, BWP-specific configuration, such as CORESET and associated PDCCH search space</w:t>
      </w:r>
      <w:r w:rsidR="00702711">
        <w:rPr>
          <w:lang w:val="en-GB"/>
        </w:rPr>
        <w:t>s</w:t>
      </w:r>
      <w:r>
        <w:rPr>
          <w:lang w:val="en-GB"/>
        </w:rPr>
        <w:t>, PUCCH resources, also has significant impact to the implementation complexity.</w:t>
      </w:r>
    </w:p>
    <w:p w14:paraId="096637F6" w14:textId="643E2A4C" w:rsidR="00283B67" w:rsidRDefault="00C5334F" w:rsidP="00323273">
      <w:pPr>
        <w:rPr>
          <w:lang w:val="en-GB"/>
        </w:rPr>
      </w:pPr>
      <w:r>
        <w:rPr>
          <w:lang w:val="en-GB"/>
        </w:rPr>
        <w:t>If BWP adapt</w:t>
      </w:r>
      <w:r w:rsidR="008241F2">
        <w:rPr>
          <w:lang w:val="en-GB"/>
        </w:rPr>
        <w:t>at</w:t>
      </w:r>
      <w:r>
        <w:rPr>
          <w:lang w:val="en-GB"/>
        </w:rPr>
        <w:t xml:space="preserve">ion is considered a monolithic feature on its own, it would likely be designated as optional. However, it would not be in the best interest </w:t>
      </w:r>
      <w:r w:rsidR="00957E2C">
        <w:rPr>
          <w:lang w:val="en-GB"/>
        </w:rPr>
        <w:t>for the</w:t>
      </w:r>
      <w:r>
        <w:rPr>
          <w:lang w:val="en-GB"/>
        </w:rPr>
        <w:t xml:space="preserve"> 5G NR</w:t>
      </w:r>
      <w:r w:rsidR="00BF153C">
        <w:rPr>
          <w:lang w:val="en-GB"/>
        </w:rPr>
        <w:t xml:space="preserve"> ecosystem</w:t>
      </w:r>
      <w:r>
        <w:rPr>
          <w:lang w:val="en-GB"/>
        </w:rPr>
        <w:t xml:space="preserve">, as it is </w:t>
      </w:r>
      <w:r w:rsidR="00D4039F">
        <w:rPr>
          <w:lang w:val="en-GB"/>
        </w:rPr>
        <w:t xml:space="preserve">much tougher to gain traction for an </w:t>
      </w:r>
      <w:r>
        <w:rPr>
          <w:lang w:val="en-GB"/>
        </w:rPr>
        <w:t xml:space="preserve">optional feature </w:t>
      </w:r>
      <w:r w:rsidR="00D4039F">
        <w:rPr>
          <w:lang w:val="en-GB"/>
        </w:rPr>
        <w:t xml:space="preserve">to get support from the network and </w:t>
      </w:r>
      <w:r w:rsidR="007E052D">
        <w:rPr>
          <w:lang w:val="en-GB"/>
        </w:rPr>
        <w:t xml:space="preserve">infra / UE </w:t>
      </w:r>
      <w:r w:rsidR="00D4039F">
        <w:rPr>
          <w:lang w:val="en-GB"/>
        </w:rPr>
        <w:t>vendors</w:t>
      </w:r>
      <w:r>
        <w:rPr>
          <w:lang w:val="en-GB"/>
        </w:rPr>
        <w:t xml:space="preserve">. It would be a huge opportunity lost because this </w:t>
      </w:r>
      <w:r w:rsidR="007E052D">
        <w:rPr>
          <w:lang w:val="en-GB"/>
        </w:rPr>
        <w:t xml:space="preserve">could </w:t>
      </w:r>
      <w:r>
        <w:rPr>
          <w:lang w:val="en-GB"/>
        </w:rPr>
        <w:t xml:space="preserve">mean </w:t>
      </w:r>
      <w:r w:rsidR="007E052D">
        <w:rPr>
          <w:lang w:val="en-GB"/>
        </w:rPr>
        <w:t xml:space="preserve">a sizeable percentage of 5G devices or markets may </w:t>
      </w:r>
      <w:r>
        <w:rPr>
          <w:lang w:val="en-GB"/>
        </w:rPr>
        <w:t>not enjoy the power saving benefits of BWP adaptation.</w:t>
      </w:r>
    </w:p>
    <w:p w14:paraId="3A7C1885" w14:textId="66EC498A" w:rsidR="00C5334F" w:rsidRDefault="00C5334F" w:rsidP="00323273">
      <w:pPr>
        <w:rPr>
          <w:lang w:val="en-GB"/>
        </w:rPr>
      </w:pPr>
      <w:r>
        <w:rPr>
          <w:lang w:val="en-GB"/>
        </w:rPr>
        <w:t xml:space="preserve">To address this issue, we propose to further split the BWP </w:t>
      </w:r>
      <w:r w:rsidR="00BF153C">
        <w:rPr>
          <w:lang w:val="en-GB"/>
        </w:rPr>
        <w:t>adaptation feature into two tiers</w:t>
      </w:r>
      <w:r w:rsidR="00702711">
        <w:rPr>
          <w:lang w:val="en-GB"/>
        </w:rPr>
        <w:t>: Type A supports a greatly simplified configuration mainly for UE power saving objective, and Type B supports full-fledged BWP adaptation</w:t>
      </w:r>
      <w:r w:rsidR="00BF153C">
        <w:rPr>
          <w:lang w:val="en-GB"/>
        </w:rPr>
        <w:t>. It is envisioned that the two tiers are differentiated by the following sub-feature sets:</w:t>
      </w:r>
    </w:p>
    <w:p w14:paraId="00A95D38" w14:textId="1A607333" w:rsidR="00BF153C" w:rsidRPr="00BF153C" w:rsidRDefault="00A34F3C" w:rsidP="00BF153C">
      <w:pPr>
        <w:rPr>
          <w:u w:val="single"/>
          <w:lang w:val="en-GB"/>
        </w:rPr>
      </w:pPr>
      <w:r>
        <w:rPr>
          <w:u w:val="single"/>
          <w:lang w:val="en-GB"/>
        </w:rPr>
        <w:t xml:space="preserve">Type A BWP adaptation – </w:t>
      </w:r>
      <w:r w:rsidR="00BF153C" w:rsidRPr="00BF153C">
        <w:rPr>
          <w:u w:val="single"/>
          <w:lang w:val="en-GB"/>
        </w:rPr>
        <w:t>Mandatory</w:t>
      </w:r>
    </w:p>
    <w:p w14:paraId="79C99101" w14:textId="1517E907" w:rsidR="00BF153C" w:rsidRDefault="00BF153C" w:rsidP="00C5144D">
      <w:pPr>
        <w:pStyle w:val="ListParagraph"/>
        <w:numPr>
          <w:ilvl w:val="0"/>
          <w:numId w:val="11"/>
        </w:numPr>
      </w:pPr>
      <w:r w:rsidRPr="00BF153C">
        <w:t>2 DL/UL BWPs for FDD and 2 DL/UL BWP pair for TDD, BWPs have the same numerology and same CP type</w:t>
      </w:r>
    </w:p>
    <w:p w14:paraId="51536E02" w14:textId="63A887D0" w:rsidR="00BF153C" w:rsidRDefault="00BF153C" w:rsidP="00C5144D">
      <w:pPr>
        <w:pStyle w:val="ListParagraph"/>
        <w:numPr>
          <w:ilvl w:val="0"/>
          <w:numId w:val="11"/>
        </w:numPr>
      </w:pPr>
      <w:r>
        <w:t>The frequency range of o</w:t>
      </w:r>
      <w:r w:rsidRPr="00BF153C">
        <w:t>ne BWP is a proper subset of the other</w:t>
      </w:r>
      <w:r>
        <w:t xml:space="preserve"> (i.e. nested)</w:t>
      </w:r>
    </w:p>
    <w:p w14:paraId="536F296D" w14:textId="54DAE16F" w:rsidR="0069771A" w:rsidRDefault="0069771A" w:rsidP="00FA27B9">
      <w:pPr>
        <w:pStyle w:val="ListParagraph"/>
        <w:numPr>
          <w:ilvl w:val="1"/>
          <w:numId w:val="11"/>
        </w:numPr>
      </w:pPr>
      <w:r>
        <w:t>The narrower BWP should be configured as the default BWP</w:t>
      </w:r>
    </w:p>
    <w:p w14:paraId="08B6B6AC" w14:textId="221386D9" w:rsidR="00BF153C" w:rsidRDefault="00BF153C" w:rsidP="00C5144D">
      <w:pPr>
        <w:pStyle w:val="ListParagraph"/>
        <w:numPr>
          <w:ilvl w:val="0"/>
          <w:numId w:val="11"/>
        </w:numPr>
      </w:pPr>
      <w:r w:rsidRPr="00BF153C">
        <w:t>Sa</w:t>
      </w:r>
      <w:r w:rsidR="00A34F3C">
        <w:t>me SSB is included in both BWPs</w:t>
      </w:r>
    </w:p>
    <w:p w14:paraId="38927ABE" w14:textId="24C29669" w:rsidR="001F419E" w:rsidRDefault="00BF153C" w:rsidP="001F419E">
      <w:pPr>
        <w:pStyle w:val="ListParagraph"/>
        <w:numPr>
          <w:ilvl w:val="0"/>
          <w:numId w:val="11"/>
        </w:numPr>
      </w:pPr>
      <w:r w:rsidRPr="00FE1E88">
        <w:t>Same CORESETs that are including search spaces are included in both BWPs</w:t>
      </w:r>
      <w:r w:rsidR="00FE1E88" w:rsidRPr="00FE1E88">
        <w:t xml:space="preserve"> </w:t>
      </w:r>
    </w:p>
    <w:p w14:paraId="58110140" w14:textId="57D97EFD" w:rsidR="004462EF" w:rsidRPr="00FE1E88" w:rsidRDefault="0069771A" w:rsidP="00FA27B9">
      <w:pPr>
        <w:pStyle w:val="ListParagraph"/>
        <w:numPr>
          <w:ilvl w:val="1"/>
          <w:numId w:val="11"/>
        </w:numPr>
      </w:pPr>
      <w:r>
        <w:t xml:space="preserve">Same </w:t>
      </w:r>
      <w:r w:rsidR="004462EF">
        <w:t>common search space</w:t>
      </w:r>
      <w:r>
        <w:t xml:space="preserve"> is configured for both DL BWPs</w:t>
      </w:r>
    </w:p>
    <w:p w14:paraId="07576058" w14:textId="77777777" w:rsidR="00BF153C" w:rsidRPr="00BF153C" w:rsidRDefault="00BF153C" w:rsidP="00BF153C">
      <w:pPr>
        <w:rPr>
          <w:lang w:val="en-GB"/>
        </w:rPr>
      </w:pPr>
    </w:p>
    <w:p w14:paraId="3E17B462" w14:textId="6AA56926" w:rsidR="00BF153C" w:rsidRPr="00BF153C" w:rsidRDefault="00BF153C" w:rsidP="00BF153C">
      <w:pPr>
        <w:rPr>
          <w:u w:val="single"/>
          <w:lang w:val="en-GB"/>
        </w:rPr>
      </w:pPr>
      <w:r w:rsidRPr="00BF153C">
        <w:rPr>
          <w:u w:val="single"/>
          <w:lang w:val="en-GB"/>
        </w:rPr>
        <w:t>Type B BWP adaptation – Optional</w:t>
      </w:r>
    </w:p>
    <w:p w14:paraId="66BFCE03" w14:textId="18015D33" w:rsidR="00BF153C" w:rsidRDefault="00BF153C" w:rsidP="00C5144D">
      <w:pPr>
        <w:pStyle w:val="ListParagraph"/>
        <w:numPr>
          <w:ilvl w:val="0"/>
          <w:numId w:val="12"/>
        </w:numPr>
      </w:pPr>
      <w:r w:rsidRPr="00BF153C">
        <w:t>4 DL/UL BWPs for FDD and 4 DL/UL BWP pair for TDD</w:t>
      </w:r>
    </w:p>
    <w:p w14:paraId="2F5F3061" w14:textId="2F9E5FF3" w:rsidR="00BF153C" w:rsidRPr="00BF153C" w:rsidRDefault="001F419E" w:rsidP="00C5144D">
      <w:pPr>
        <w:pStyle w:val="ListParagraph"/>
        <w:numPr>
          <w:ilvl w:val="0"/>
          <w:numId w:val="12"/>
        </w:numPr>
      </w:pPr>
      <w:r w:rsidRPr="00BF153C" w:rsidDel="001F419E">
        <w:t xml:space="preserve"> </w:t>
      </w:r>
      <w:r w:rsidR="00BF153C" w:rsidRPr="00BF153C">
        <w:t>(</w:t>
      </w:r>
      <w:r w:rsidR="008241F2">
        <w:t>Remove</w:t>
      </w:r>
      <w:r w:rsidR="00BF153C" w:rsidRPr="00BF153C">
        <w:t xml:space="preserve"> Type A</w:t>
      </w:r>
      <w:r w:rsidR="008241F2">
        <w:t xml:space="preserve"> restrictions except the stated above</w:t>
      </w:r>
      <w:r w:rsidR="00BF153C" w:rsidRPr="00BF153C">
        <w:t>)</w:t>
      </w:r>
    </w:p>
    <w:p w14:paraId="18A72C8A" w14:textId="5470240B" w:rsidR="00C5334F" w:rsidRDefault="00C5334F" w:rsidP="00323273">
      <w:pPr>
        <w:rPr>
          <w:lang w:val="en-GB"/>
        </w:rPr>
      </w:pPr>
    </w:p>
    <w:p w14:paraId="240E52D9" w14:textId="69D3B6C8" w:rsidR="00EB12B5" w:rsidRDefault="00EB12B5" w:rsidP="00323273">
      <w:pPr>
        <w:rPr>
          <w:lang w:val="en-GB"/>
        </w:rPr>
      </w:pPr>
      <w:r>
        <w:rPr>
          <w:lang w:val="en-GB"/>
        </w:rPr>
        <w:t xml:space="preserve">Type A BWP adaptation supports two DL/UL BWPs, with the same numerology and same CP type. BWPs in the same link direction are nested in terms of the frequency range supported. The same CORESET and search spaces are configured. </w:t>
      </w:r>
      <w:r w:rsidR="00FE1E88">
        <w:rPr>
          <w:lang w:val="en-GB"/>
        </w:rPr>
        <w:t xml:space="preserve">Despite this, </w:t>
      </w:r>
      <w:r w:rsidR="0069771A">
        <w:rPr>
          <w:lang w:val="en-GB"/>
        </w:rPr>
        <w:t xml:space="preserve">non-fallback </w:t>
      </w:r>
      <w:r w:rsidR="00FE1E88">
        <w:rPr>
          <w:lang w:val="en-GB"/>
        </w:rPr>
        <w:t>DCI format size need not to be the same because otherwise the padding could become excessive if the bandwidth disparity is huge between narrow and wide BWPs</w:t>
      </w:r>
      <w:r w:rsidR="0069771A">
        <w:rPr>
          <w:lang w:val="en-GB"/>
        </w:rPr>
        <w:t>; Also, it has been proposed that fallback DCI format size should be based on the default (narrower) BWP.</w:t>
      </w:r>
      <w:r w:rsidR="00FE1E88">
        <w:rPr>
          <w:lang w:val="en-GB"/>
        </w:rPr>
        <w:t xml:space="preserve"> </w:t>
      </w:r>
      <w:r>
        <w:rPr>
          <w:lang w:val="en-GB"/>
        </w:rPr>
        <w:t xml:space="preserve">The same SSB is included in both BWPs. These configurations greatly help simplify the implementation as well as </w:t>
      </w:r>
      <w:r w:rsidR="00587D47">
        <w:rPr>
          <w:lang w:val="en-GB"/>
        </w:rPr>
        <w:t xml:space="preserve">minimizing </w:t>
      </w:r>
      <w:r>
        <w:rPr>
          <w:lang w:val="en-GB"/>
        </w:rPr>
        <w:t>the occurrences of measurement gaps.</w:t>
      </w:r>
    </w:p>
    <w:p w14:paraId="3F62FE09" w14:textId="7A17F7C3" w:rsidR="003B4F75" w:rsidRDefault="00E430BF" w:rsidP="00323273">
      <w:pPr>
        <w:rPr>
          <w:lang w:val="en-GB"/>
        </w:rPr>
      </w:pPr>
      <w:r>
        <w:rPr>
          <w:lang w:val="en-GB"/>
        </w:rPr>
        <w:t>UE needs to monitor for RMSI and broadcast OSI wh</w:t>
      </w:r>
      <w:r w:rsidR="00732C7F">
        <w:rPr>
          <w:lang w:val="en-GB"/>
        </w:rPr>
        <w:t>ich is transmitted by the gNB within</w:t>
      </w:r>
      <w:r>
        <w:rPr>
          <w:lang w:val="en-GB"/>
        </w:rPr>
        <w:t xml:space="preserve"> the common search space (CSS) </w:t>
      </w:r>
      <w:r w:rsidR="00732C7F">
        <w:rPr>
          <w:lang w:val="en-GB"/>
        </w:rPr>
        <w:t xml:space="preserve">on </w:t>
      </w:r>
      <w:r>
        <w:rPr>
          <w:lang w:val="en-GB"/>
        </w:rPr>
        <w:t xml:space="preserve">the PCell. </w:t>
      </w:r>
      <w:r w:rsidR="003B4F75">
        <w:rPr>
          <w:lang w:val="en-GB"/>
        </w:rPr>
        <w:t xml:space="preserve">In addition, RACH response and paging control monitoring on the PCell can also be transmitted within the CSS. </w:t>
      </w:r>
      <w:r w:rsidR="001426D3">
        <w:rPr>
          <w:lang w:val="en-GB"/>
        </w:rPr>
        <w:t>In Type A BWP adaptation, the common search space presides in both DL BWPs. As a result, UE does not have to switch to a particular BWP containing CSS for above operations.</w:t>
      </w:r>
    </w:p>
    <w:p w14:paraId="1FA9ACF9" w14:textId="3DE43B60" w:rsidR="00C63169" w:rsidRPr="00814E13" w:rsidRDefault="00686644" w:rsidP="00754C1A">
      <w:pPr>
        <w:pStyle w:val="Caption"/>
        <w:rPr>
          <w:b w:val="0"/>
        </w:rPr>
      </w:pPr>
      <w:bookmarkStart w:id="444" w:name="_Toc494741492"/>
      <w:bookmarkStart w:id="445" w:name="_Toc494742686"/>
      <w:bookmarkStart w:id="446" w:name="_Toc494742969"/>
      <w:bookmarkStart w:id="447" w:name="_Toc494743448"/>
      <w:bookmarkStart w:id="448" w:name="_Toc494743595"/>
      <w:bookmarkStart w:id="449" w:name="_Toc494744792"/>
      <w:bookmarkStart w:id="450" w:name="_Toc494748372"/>
      <w:bookmarkStart w:id="451" w:name="_Toc494743632"/>
      <w:bookmarkStart w:id="452" w:name="_Toc498633825"/>
      <w:bookmarkStart w:id="453" w:name="_Toc498634115"/>
      <w:bookmarkStart w:id="454" w:name="_Toc498648444"/>
      <w:bookmarkStart w:id="455" w:name="_Toc498648607"/>
      <w:bookmarkStart w:id="456" w:name="_Toc498701154"/>
      <w:bookmarkStart w:id="457" w:name="_Toc498702930"/>
      <w:bookmarkStart w:id="458" w:name="_Toc498711174"/>
      <w:bookmarkStart w:id="459" w:name="_Toc498712651"/>
      <w:bookmarkStart w:id="460" w:name="_Toc498712719"/>
      <w:bookmarkStart w:id="461" w:name="_Toc498714492"/>
      <w:bookmarkStart w:id="462" w:name="_Toc498715979"/>
      <w:bookmarkStart w:id="463" w:name="_Toc498716653"/>
      <w:bookmarkStart w:id="464" w:name="_Toc498717159"/>
      <w:bookmarkStart w:id="465" w:name="_Toc498717298"/>
      <w:bookmarkStart w:id="466" w:name="_Toc498717544"/>
      <w:bookmarkStart w:id="467" w:name="_Toc498720194"/>
      <w:bookmarkStart w:id="468" w:name="_Toc503105513"/>
      <w:bookmarkStart w:id="469" w:name="_Toc503105525"/>
      <w:bookmarkStart w:id="470" w:name="_Toc503105535"/>
      <w:bookmarkStart w:id="471" w:name="_Toc503105652"/>
      <w:bookmarkStart w:id="472" w:name="_Toc503260721"/>
      <w:bookmarkStart w:id="473" w:name="_Toc503267963"/>
      <w:bookmarkStart w:id="474" w:name="_Toc503268144"/>
      <w:bookmarkStart w:id="475" w:name="_Toc503268194"/>
      <w:bookmarkStart w:id="476" w:name="_Toc503268222"/>
      <w:bookmarkStart w:id="477" w:name="_Toc503282500"/>
      <w:bookmarkStart w:id="478" w:name="_Toc503313782"/>
      <w:bookmarkStart w:id="479" w:name="_Toc503464753"/>
      <w:bookmarkStart w:id="480" w:name="_Toc503486508"/>
      <w:bookmarkStart w:id="481" w:name="_Toc503488689"/>
      <w:bookmarkStart w:id="482" w:name="_Toc503489522"/>
      <w:bookmarkStart w:id="483" w:name="_Toc503490991"/>
      <w:bookmarkStart w:id="484" w:name="_Toc503491330"/>
      <w:bookmarkStart w:id="485" w:name="_Toc503534874"/>
      <w:bookmarkStart w:id="486" w:name="_Toc503538759"/>
      <w:bookmarkStart w:id="487" w:name="_Toc503539943"/>
      <w:bookmarkStart w:id="488" w:name="_Toc503540009"/>
      <w:bookmarkStart w:id="489" w:name="_Toc503542187"/>
      <w:bookmarkStart w:id="490" w:name="_Toc503545892"/>
      <w:bookmarkStart w:id="491" w:name="_Toc503545908"/>
      <w:bookmarkStart w:id="492" w:name="_Toc503547101"/>
      <w:bookmarkStart w:id="493" w:name="_Toc503547234"/>
      <w:bookmarkStart w:id="494" w:name="_Toc503547813"/>
      <w:bookmarkStart w:id="495" w:name="_Toc503552122"/>
      <w:bookmarkStart w:id="496" w:name="_Toc503553245"/>
      <w:r>
        <w:t xml:space="preserve">Proposal </w:t>
      </w:r>
      <w:r w:rsidR="001E1392">
        <w:fldChar w:fldCharType="begin"/>
      </w:r>
      <w:r w:rsidR="001E1392">
        <w:instrText xml:space="preserve"> SEQ Proposal \* ARABIC </w:instrText>
      </w:r>
      <w:r w:rsidR="001E1392">
        <w:fldChar w:fldCharType="separate"/>
      </w:r>
      <w:r w:rsidR="00685646">
        <w:rPr>
          <w:noProof/>
        </w:rPr>
        <w:t>16</w:t>
      </w:r>
      <w:r w:rsidR="001E1392">
        <w:rPr>
          <w:noProof/>
        </w:rPr>
        <w:fldChar w:fldCharType="end"/>
      </w:r>
      <w:r>
        <w:t>: For Rel-15</w:t>
      </w:r>
      <w:bookmarkEnd w:id="444"/>
      <w:r>
        <w:t xml:space="preserve">, </w:t>
      </w:r>
      <w:bookmarkEnd w:id="445"/>
      <w:bookmarkEnd w:id="446"/>
      <w:bookmarkEnd w:id="447"/>
      <w:bookmarkEnd w:id="448"/>
      <w:bookmarkEnd w:id="449"/>
      <w:bookmarkEnd w:id="450"/>
      <w:bookmarkEnd w:id="451"/>
      <w:bookmarkEnd w:id="452"/>
      <w:bookmarkEnd w:id="453"/>
      <w:r w:rsidR="00754C1A">
        <w:t>support for Type A BWP adaptation is mandatory</w:t>
      </w:r>
      <w:r w:rsidR="00A34F3C">
        <w:t>; Support for Type B BWP adaptation is optional.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5BB5B6D8" w14:textId="452C667D" w:rsidR="00CA3827" w:rsidRPr="00CA3827" w:rsidRDefault="00CA3827" w:rsidP="00CA3827">
      <w:pPr>
        <w:rPr>
          <w:lang w:val="en-GB"/>
        </w:rPr>
      </w:pPr>
    </w:p>
    <w:p w14:paraId="16CFBAF1" w14:textId="7203D363" w:rsidR="00E4038C" w:rsidRDefault="00E4038C" w:rsidP="00C227E3">
      <w:pPr>
        <w:pStyle w:val="Heading1"/>
        <w:rPr>
          <w:lang w:eastAsia="zh-CN"/>
        </w:rPr>
      </w:pPr>
      <w:r w:rsidRPr="00C227E3">
        <w:lastRenderedPageBreak/>
        <w:t>Conclusions</w:t>
      </w:r>
    </w:p>
    <w:p w14:paraId="4A7CCD54" w14:textId="308306FC" w:rsidR="00AF5673" w:rsidRDefault="003B4AAF" w:rsidP="00AF5673">
      <w:pPr>
        <w:spacing w:after="120"/>
      </w:pPr>
      <w:r>
        <w:t xml:space="preserve">We discussed some of the remaining issues on BWP. </w:t>
      </w:r>
      <w:r w:rsidR="007B645F">
        <w:t xml:space="preserve">The following </w:t>
      </w:r>
      <w:r w:rsidR="00002E3E">
        <w:t xml:space="preserve">observations and </w:t>
      </w:r>
      <w:r w:rsidR="007B645F">
        <w:t>proposals have been made:</w:t>
      </w:r>
    </w:p>
    <w:p w14:paraId="2DAFCED6" w14:textId="77777777" w:rsidR="00002E3E" w:rsidRDefault="00002E3E" w:rsidP="00AF5673">
      <w:pPr>
        <w:spacing w:after="120"/>
      </w:pPr>
    </w:p>
    <w:p w14:paraId="3DAAD267" w14:textId="7B8C37FF" w:rsidR="00685646" w:rsidRDefault="00002E3E">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"Observation" </w:instrText>
      </w:r>
      <w:r>
        <w:fldChar w:fldCharType="separate"/>
      </w:r>
      <w:hyperlink w:anchor="_Toc503553227" w:history="1">
        <w:r w:rsidR="00685646" w:rsidRPr="00BB1093">
          <w:rPr>
            <w:rStyle w:val="Hyperlink"/>
            <w:noProof/>
          </w:rPr>
          <w:t>Observation 1: When BWP switching is triggered by a scheduling DCI, it is considered that active DL/UL BWP is changed to the target BWP at the beginning of the slot that is k0 slots after the slot containing the DL scheduling DCI, or k2 slots after the slot containing the UL scheduling DCI.</w:t>
        </w:r>
      </w:hyperlink>
    </w:p>
    <w:p w14:paraId="5D5685FE" w14:textId="24D15E9D" w:rsidR="00685646" w:rsidRDefault="00685646">
      <w:pPr>
        <w:pStyle w:val="TableofFigures"/>
        <w:tabs>
          <w:tab w:val="right" w:leader="dot" w:pos="9628"/>
        </w:tabs>
        <w:rPr>
          <w:rFonts w:asciiTheme="minorHAnsi" w:eastAsiaTheme="minorEastAsia" w:hAnsiTheme="minorHAnsi" w:cstheme="minorBidi"/>
          <w:noProof/>
          <w:sz w:val="22"/>
          <w:szCs w:val="22"/>
        </w:rPr>
      </w:pPr>
      <w:hyperlink w:anchor="_Toc503553228" w:history="1">
        <w:r w:rsidRPr="00BB1093">
          <w:rPr>
            <w:rStyle w:val="Hyperlink"/>
            <w:noProof/>
          </w:rPr>
          <w:t>Observation 2: The resource allocation field in a scheduling DCI, which may also trigger BWP switching, is sized according to the active BWP.</w:t>
        </w:r>
      </w:hyperlink>
    </w:p>
    <w:p w14:paraId="5B5F538A" w14:textId="7837CA85" w:rsidR="00685646" w:rsidRDefault="00685646">
      <w:pPr>
        <w:pStyle w:val="TableofFigures"/>
        <w:tabs>
          <w:tab w:val="right" w:leader="dot" w:pos="9628"/>
        </w:tabs>
        <w:rPr>
          <w:rFonts w:asciiTheme="minorHAnsi" w:eastAsiaTheme="minorEastAsia" w:hAnsiTheme="minorHAnsi" w:cstheme="minorBidi"/>
          <w:noProof/>
          <w:sz w:val="22"/>
          <w:szCs w:val="22"/>
        </w:rPr>
      </w:pPr>
      <w:hyperlink w:anchor="_Toc503553229" w:history="1">
        <w:r w:rsidRPr="00BB1093">
          <w:rPr>
            <w:rStyle w:val="Hyperlink"/>
            <w:noProof/>
          </w:rPr>
          <w:t>Observation 3: Support for scheduling DCI with zero resource allocation is essential to handle some cases of resource allocation signaling restrictions due to scheduling a wider BWP with a RA field sized for a narrower BWP.</w:t>
        </w:r>
      </w:hyperlink>
    </w:p>
    <w:p w14:paraId="5CBDA7DC" w14:textId="502F3255" w:rsidR="00002E3E" w:rsidRDefault="00002E3E" w:rsidP="00AF5673">
      <w:pPr>
        <w:spacing w:after="120"/>
      </w:pPr>
      <w:r>
        <w:fldChar w:fldCharType="end"/>
      </w:r>
    </w:p>
    <w:p w14:paraId="6B16A261" w14:textId="77777777" w:rsidR="00685646" w:rsidRDefault="003B4AAF">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\c "Proposal" </w:instrText>
      </w:r>
      <w:r>
        <w:fldChar w:fldCharType="separate"/>
      </w:r>
      <w:r w:rsidR="00685646">
        <w:rPr>
          <w:noProof/>
        </w:rPr>
        <w:t>Proposal 1: For TDD, SRS transmission in the UL direction is restricted to only the frequency range of the active DL BWP.</w:t>
      </w:r>
    </w:p>
    <w:p w14:paraId="5E6055F4" w14:textId="77777777" w:rsidR="00685646" w:rsidRDefault="00685646">
      <w:pPr>
        <w:pStyle w:val="TableofFigures"/>
        <w:tabs>
          <w:tab w:val="right" w:leader="dot" w:pos="9628"/>
        </w:tabs>
        <w:rPr>
          <w:rFonts w:asciiTheme="minorHAnsi" w:eastAsiaTheme="minorEastAsia" w:hAnsiTheme="minorHAnsi" w:cstheme="minorBidi"/>
          <w:noProof/>
          <w:sz w:val="22"/>
          <w:szCs w:val="22"/>
        </w:rPr>
      </w:pPr>
      <w:r>
        <w:rPr>
          <w:noProof/>
        </w:rPr>
        <w:t>Proposal 2: For Rel-15, for unpaired spectrum and if SRS feature is enabled, do not support the BWP pair configuration where the UL BWP frequency range is a proper subset of that of the DL BWP.</w:t>
      </w:r>
    </w:p>
    <w:p w14:paraId="30CE4F14" w14:textId="77777777" w:rsidR="00685646" w:rsidRDefault="00685646">
      <w:pPr>
        <w:pStyle w:val="TableofFigures"/>
        <w:tabs>
          <w:tab w:val="right" w:leader="dot" w:pos="9628"/>
        </w:tabs>
        <w:rPr>
          <w:rFonts w:asciiTheme="minorHAnsi" w:eastAsiaTheme="minorEastAsia" w:hAnsiTheme="minorHAnsi" w:cstheme="minorBidi"/>
          <w:noProof/>
          <w:sz w:val="22"/>
          <w:szCs w:val="22"/>
        </w:rPr>
      </w:pPr>
      <w:r>
        <w:rPr>
          <w:noProof/>
        </w:rPr>
        <w:t>Proposal 3: The resource allocation field in a scheduling DCI which also triggers BWP switching is interpreted based on the active BWP (i.e. not the target BWP indicated in the BWP ID field). The physical resource block allocation is directly mapped to the target BWP.</w:t>
      </w:r>
    </w:p>
    <w:p w14:paraId="75BC7925" w14:textId="77777777" w:rsidR="00685646" w:rsidRDefault="00685646">
      <w:pPr>
        <w:pStyle w:val="TableofFigures"/>
        <w:tabs>
          <w:tab w:val="right" w:leader="dot" w:pos="9628"/>
        </w:tabs>
        <w:rPr>
          <w:rFonts w:asciiTheme="minorHAnsi" w:eastAsiaTheme="minorEastAsia" w:hAnsiTheme="minorHAnsi" w:cstheme="minorBidi"/>
          <w:noProof/>
          <w:sz w:val="22"/>
          <w:szCs w:val="22"/>
        </w:rPr>
      </w:pPr>
      <w:r>
        <w:rPr>
          <w:noProof/>
        </w:rPr>
        <w:t>Proposal 4: For cross-BWP scheduling, UE is not expected to handle the case that the physical resource block allocation interpreted based on the original BWP, when mapped to the target BWP, is not completely within the target BWP. gNB may avoid the case by populating the resource allocation field with zero resource allocation.</w:t>
      </w:r>
    </w:p>
    <w:p w14:paraId="5A807A33" w14:textId="77777777" w:rsidR="00685646" w:rsidRDefault="00685646">
      <w:pPr>
        <w:pStyle w:val="TableofFigures"/>
        <w:tabs>
          <w:tab w:val="right" w:leader="dot" w:pos="9628"/>
        </w:tabs>
        <w:rPr>
          <w:rFonts w:asciiTheme="minorHAnsi" w:eastAsiaTheme="minorEastAsia" w:hAnsiTheme="minorHAnsi" w:cstheme="minorBidi"/>
          <w:noProof/>
          <w:sz w:val="22"/>
          <w:szCs w:val="22"/>
        </w:rPr>
      </w:pPr>
      <w:r>
        <w:rPr>
          <w:noProof/>
        </w:rPr>
        <w:t>Proposal 5: For fallback DCI, the resource allocation (RA) field size is determined based on the default BWP. More elaborately, RA field size for DL scheduling DCI (Format 1_0) corresponds to the default DL BWP; RA field size for UL scheduling DCI (Format 0_0) corresponds to the “default” UL BWP.</w:t>
      </w:r>
    </w:p>
    <w:p w14:paraId="0DDCD6D0" w14:textId="77777777" w:rsidR="00685646" w:rsidRDefault="00685646">
      <w:pPr>
        <w:pStyle w:val="TableofFigures"/>
        <w:tabs>
          <w:tab w:val="right" w:leader="dot" w:pos="9628"/>
        </w:tabs>
        <w:rPr>
          <w:rFonts w:asciiTheme="minorHAnsi" w:eastAsiaTheme="minorEastAsia" w:hAnsiTheme="minorHAnsi" w:cstheme="minorBidi"/>
          <w:noProof/>
          <w:sz w:val="22"/>
          <w:szCs w:val="22"/>
        </w:rPr>
      </w:pPr>
      <w:r>
        <w:rPr>
          <w:noProof/>
        </w:rPr>
        <w:t>Proposal 6: Fallback DCI for DL/UL scheduling is supported only for the DL/UL BWP satisfying the following conditions: (a) If the default DL/UL BWP is a subset of the DL/UL BWP respectively in terms of frequency range, and (b) if the search space configured in the DL BWP is the same as the search space of the default DL BWP.</w:t>
      </w:r>
    </w:p>
    <w:p w14:paraId="6C29ACB2" w14:textId="77777777" w:rsidR="00685646" w:rsidRDefault="00685646">
      <w:pPr>
        <w:pStyle w:val="TableofFigures"/>
        <w:tabs>
          <w:tab w:val="right" w:leader="dot" w:pos="9628"/>
        </w:tabs>
        <w:rPr>
          <w:rFonts w:asciiTheme="minorHAnsi" w:eastAsiaTheme="minorEastAsia" w:hAnsiTheme="minorHAnsi" w:cstheme="minorBidi"/>
          <w:noProof/>
          <w:sz w:val="22"/>
          <w:szCs w:val="22"/>
        </w:rPr>
      </w:pPr>
      <w:r>
        <w:rPr>
          <w:noProof/>
        </w:rPr>
        <w:t>Proposal 7: If fallback DCI is supported for a BWP other than the default BWP, the resource allocation field is interpreted based on the default BWP. The physical resource block allocation is directly mapped to the BWP.</w:t>
      </w:r>
    </w:p>
    <w:p w14:paraId="15D31F47" w14:textId="77777777" w:rsidR="00685646" w:rsidRDefault="00685646">
      <w:pPr>
        <w:pStyle w:val="TableofFigures"/>
        <w:tabs>
          <w:tab w:val="right" w:leader="dot" w:pos="9628"/>
        </w:tabs>
        <w:rPr>
          <w:rFonts w:asciiTheme="minorHAnsi" w:eastAsiaTheme="minorEastAsia" w:hAnsiTheme="minorHAnsi" w:cstheme="minorBidi"/>
          <w:noProof/>
          <w:sz w:val="22"/>
          <w:szCs w:val="22"/>
        </w:rPr>
      </w:pPr>
      <w:r>
        <w:rPr>
          <w:noProof/>
        </w:rPr>
        <w:t>Proposal 8: Support DL scheduling DCI with zero resource allocation (i.e. without scheduling downlink transmission) for active DL or DL/UL BWP switching. UE is expected to send positive HARQ-ACK for zero-size PDSCH transmission.</w:t>
      </w:r>
    </w:p>
    <w:p w14:paraId="5F63AEF3" w14:textId="77777777" w:rsidR="00685646" w:rsidRDefault="00685646">
      <w:pPr>
        <w:pStyle w:val="TableofFigures"/>
        <w:tabs>
          <w:tab w:val="right" w:leader="dot" w:pos="9628"/>
        </w:tabs>
        <w:rPr>
          <w:rFonts w:asciiTheme="minorHAnsi" w:eastAsiaTheme="minorEastAsia" w:hAnsiTheme="minorHAnsi" w:cstheme="minorBidi"/>
          <w:noProof/>
          <w:sz w:val="22"/>
          <w:szCs w:val="22"/>
        </w:rPr>
      </w:pPr>
      <w:r>
        <w:rPr>
          <w:noProof/>
        </w:rPr>
        <w:t>Proposal 9: Support UL scheduling DCI with zero resource allocation (i.e. without scheduling uplink transmission).</w:t>
      </w:r>
    </w:p>
    <w:p w14:paraId="0E3B770C" w14:textId="77777777" w:rsidR="00685646" w:rsidRDefault="00685646">
      <w:pPr>
        <w:pStyle w:val="TableofFigures"/>
        <w:tabs>
          <w:tab w:val="right" w:leader="dot" w:pos="9628"/>
        </w:tabs>
        <w:rPr>
          <w:rFonts w:asciiTheme="minorHAnsi" w:eastAsiaTheme="minorEastAsia" w:hAnsiTheme="minorHAnsi" w:cstheme="minorBidi"/>
          <w:noProof/>
          <w:sz w:val="22"/>
          <w:szCs w:val="22"/>
        </w:rPr>
      </w:pPr>
      <w:r>
        <w:rPr>
          <w:noProof/>
        </w:rPr>
        <w:t>Proposal 10: For paired spectrum, DL scheduling DCI with zero resource allocation can have some unused field repurposed for at least the UL BWP ID field to support UL BWP switching.</w:t>
      </w:r>
    </w:p>
    <w:p w14:paraId="1A52C7E0" w14:textId="77777777" w:rsidR="00685646" w:rsidRDefault="00685646">
      <w:pPr>
        <w:pStyle w:val="TableofFigures"/>
        <w:tabs>
          <w:tab w:val="right" w:leader="dot" w:pos="9628"/>
        </w:tabs>
        <w:rPr>
          <w:rFonts w:asciiTheme="minorHAnsi" w:eastAsiaTheme="minorEastAsia" w:hAnsiTheme="minorHAnsi" w:cstheme="minorBidi"/>
          <w:noProof/>
          <w:sz w:val="22"/>
          <w:szCs w:val="22"/>
        </w:rPr>
      </w:pPr>
      <w:r>
        <w:rPr>
          <w:noProof/>
        </w:rPr>
        <w:t>Proposal 11: A single UL scheduling DCI can switch at least the DL BWP as well as request A-CSI measurement on the new DL BWP, and allocate PUSCH resource for CSF, for both unpaired spectrum and paired spectrum operation</w:t>
      </w:r>
    </w:p>
    <w:p w14:paraId="74CA9EE9" w14:textId="77777777" w:rsidR="00685646" w:rsidRDefault="00685646">
      <w:pPr>
        <w:pStyle w:val="TableofFigures"/>
        <w:tabs>
          <w:tab w:val="right" w:leader="dot" w:pos="9628"/>
        </w:tabs>
        <w:rPr>
          <w:rFonts w:asciiTheme="minorHAnsi" w:eastAsiaTheme="minorEastAsia" w:hAnsiTheme="minorHAnsi" w:cstheme="minorBidi"/>
          <w:noProof/>
          <w:sz w:val="22"/>
          <w:szCs w:val="22"/>
        </w:rPr>
      </w:pPr>
      <w:r>
        <w:rPr>
          <w:noProof/>
        </w:rPr>
        <w:t>Proposal 12: In the UL scheduling DCI, whether the BWP ID applies to the UL BWP or the DL BWP is implicitly conditioned on the A-CSI request field.</w:t>
      </w:r>
    </w:p>
    <w:p w14:paraId="1C3F35E0" w14:textId="77777777" w:rsidR="00685646" w:rsidRDefault="00685646">
      <w:pPr>
        <w:pStyle w:val="TableofFigures"/>
        <w:tabs>
          <w:tab w:val="right" w:leader="dot" w:pos="9628"/>
        </w:tabs>
        <w:rPr>
          <w:rFonts w:asciiTheme="minorHAnsi" w:eastAsiaTheme="minorEastAsia" w:hAnsiTheme="minorHAnsi" w:cstheme="minorBidi"/>
          <w:noProof/>
          <w:sz w:val="22"/>
          <w:szCs w:val="22"/>
        </w:rPr>
      </w:pPr>
      <w:r>
        <w:rPr>
          <w:noProof/>
        </w:rPr>
        <w:t>Proposal 13: UE expects aperiodic CSI-RS triggered by an UL scheduling DCI would be transmitted in a slot whose offset from the DCI is based on k0. If k0 is not dynamically indicated, it is determined to be the smallest of the set of semi-statically configured values.</w:t>
      </w:r>
    </w:p>
    <w:p w14:paraId="40029523" w14:textId="77777777" w:rsidR="00685646" w:rsidRDefault="00685646">
      <w:pPr>
        <w:pStyle w:val="TableofFigures"/>
        <w:tabs>
          <w:tab w:val="right" w:leader="dot" w:pos="9628"/>
        </w:tabs>
        <w:rPr>
          <w:rFonts w:asciiTheme="minorHAnsi" w:eastAsiaTheme="minorEastAsia" w:hAnsiTheme="minorHAnsi" w:cstheme="minorBidi"/>
          <w:noProof/>
          <w:sz w:val="22"/>
          <w:szCs w:val="22"/>
        </w:rPr>
      </w:pPr>
      <w:r>
        <w:rPr>
          <w:noProof/>
        </w:rPr>
        <w:t>Proposal 14: If aperiodic CSI request is triggered simultaneously with BWP switching (either by the same DCI or separate DCI in the same slot), CSI-RS measurement should be performed on the target DL BWP after k0 slots, and reporting in the UL BWP which could be associated with the target DL BWP in the case of unpaired spectrum operation after k2 slots. UE expects that k0 is not larger than k2.</w:t>
      </w:r>
    </w:p>
    <w:p w14:paraId="3E20337C" w14:textId="77777777" w:rsidR="00685646" w:rsidRDefault="00685646">
      <w:pPr>
        <w:pStyle w:val="TableofFigures"/>
        <w:tabs>
          <w:tab w:val="right" w:leader="dot" w:pos="9628"/>
        </w:tabs>
        <w:rPr>
          <w:rFonts w:asciiTheme="minorHAnsi" w:eastAsiaTheme="minorEastAsia" w:hAnsiTheme="minorHAnsi" w:cstheme="minorBidi"/>
          <w:noProof/>
          <w:sz w:val="22"/>
          <w:szCs w:val="22"/>
        </w:rPr>
      </w:pPr>
      <w:r>
        <w:rPr>
          <w:noProof/>
        </w:rPr>
        <w:t>Proposal 15: Some restriction is needed on BWP switching taking into account the stages of the timeline to avoid complicated conflict scenarios.</w:t>
      </w:r>
    </w:p>
    <w:p w14:paraId="7F06F35A" w14:textId="6D882B91" w:rsidR="00FA5DCB" w:rsidRDefault="00685646" w:rsidP="00814E13">
      <w:pPr>
        <w:pStyle w:val="TableofFigures"/>
        <w:tabs>
          <w:tab w:val="right" w:leader="dot" w:pos="9628"/>
        </w:tabs>
      </w:pPr>
      <w:r>
        <w:rPr>
          <w:noProof/>
        </w:rPr>
        <w:lastRenderedPageBreak/>
        <w:t>Proposal 16: For Rel-15, support for Type A BWP adaptation is mandatory; Support for Type B BWP adaptation is optional.</w:t>
      </w:r>
      <w:r w:rsidR="003B4AAF">
        <w:fldChar w:fldCharType="end"/>
      </w:r>
    </w:p>
    <w:p w14:paraId="1BFC40C8" w14:textId="77777777" w:rsidR="00685646" w:rsidRPr="00685646" w:rsidRDefault="00685646" w:rsidP="00685646">
      <w:bookmarkStart w:id="497" w:name="_GoBack"/>
      <w:bookmarkEnd w:id="497"/>
    </w:p>
    <w:p w14:paraId="730A85A5" w14:textId="5E40348E" w:rsidR="00C1473E" w:rsidRDefault="00BA6230" w:rsidP="00395DB2">
      <w:pPr>
        <w:pStyle w:val="Heading1"/>
      </w:pPr>
      <w:r>
        <w:t>References</w:t>
      </w:r>
    </w:p>
    <w:p w14:paraId="7E054F7C" w14:textId="32A8FA81" w:rsidR="00F50055" w:rsidRPr="00F50055" w:rsidRDefault="00F50055" w:rsidP="00F50055">
      <w:pPr>
        <w:numPr>
          <w:ilvl w:val="0"/>
          <w:numId w:val="4"/>
        </w:numPr>
        <w:spacing w:before="100" w:beforeAutospacing="1" w:after="100" w:afterAutospacing="1"/>
        <w:rPr>
          <w:szCs w:val="22"/>
        </w:rPr>
      </w:pPr>
      <w:bookmarkStart w:id="498" w:name="_Ref503268102"/>
      <w:bookmarkStart w:id="499" w:name="_Ref489663509"/>
      <w:bookmarkStart w:id="500" w:name="_Ref489663439"/>
      <w:r w:rsidRPr="00F50055">
        <w:rPr>
          <w:szCs w:val="22"/>
        </w:rPr>
        <w:t>R1-1610135, “Evaluation of Frame Structure Design for UE Power”, RAN1#86bis, Qualcomm</w:t>
      </w:r>
      <w:bookmarkEnd w:id="498"/>
    </w:p>
    <w:p w14:paraId="11269827" w14:textId="4086F95E" w:rsidR="00643DD1" w:rsidRPr="00D13957" w:rsidRDefault="00643DD1" w:rsidP="00C5144D">
      <w:pPr>
        <w:numPr>
          <w:ilvl w:val="0"/>
          <w:numId w:val="4"/>
        </w:numPr>
        <w:spacing w:before="100" w:beforeAutospacing="1" w:after="100" w:afterAutospacing="1"/>
        <w:rPr>
          <w:szCs w:val="22"/>
        </w:rPr>
      </w:pPr>
      <w:bookmarkStart w:id="501" w:name="_Ref503268074"/>
      <w:r>
        <w:t>R1-1704179, “Reply LS on UE RF Bandwidth Adaptation in NR”</w:t>
      </w:r>
      <w:bookmarkEnd w:id="499"/>
      <w:bookmarkEnd w:id="501"/>
    </w:p>
    <w:p w14:paraId="7199593B" w14:textId="1B787CCE" w:rsidR="00D13957" w:rsidRPr="00DF6AE4" w:rsidRDefault="00D13957" w:rsidP="00D13957">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502" w:name="_Ref494300936"/>
      <w:bookmarkStart w:id="503" w:name="_Ref494542387"/>
      <w:bookmarkStart w:id="504" w:name="_Ref494300927"/>
      <w:bookmarkEnd w:id="500"/>
      <w:r w:rsidRPr="009D0841">
        <w:rPr>
          <w:szCs w:val="22"/>
        </w:rPr>
        <w:t>Chairman’s Notes</w:t>
      </w:r>
      <w:r>
        <w:tab/>
        <w:t xml:space="preserve">3GPP TSG RAN WG1 </w:t>
      </w:r>
      <w:r w:rsidRPr="00A3327A">
        <w:t>NR Ad-Hoc</w:t>
      </w:r>
      <w:r>
        <w:t xml:space="preserve"> #3</w:t>
      </w:r>
      <w:bookmarkEnd w:id="502"/>
      <w:r>
        <w:t>, 2017</w:t>
      </w:r>
      <w:bookmarkEnd w:id="503"/>
    </w:p>
    <w:p w14:paraId="4F6035CF" w14:textId="33DB5A01" w:rsidR="00DF6AE4" w:rsidRPr="000A2438" w:rsidRDefault="00DF6AE4">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505" w:name="_Ref503534899"/>
      <w:bookmarkStart w:id="506" w:name="_Ref503268227"/>
      <w:r w:rsidRPr="0069627B">
        <w:rPr>
          <w:lang w:eastAsia="x-none"/>
        </w:rPr>
        <w:t>R1-1718901, “</w:t>
      </w:r>
      <w:r w:rsidRPr="004A79FA">
        <w:t>Summary of Bandwidth Part Operation</w:t>
      </w:r>
      <w:r>
        <w:t>”, RAN1#90bis, M</w:t>
      </w:r>
      <w:r w:rsidRPr="004A79FA">
        <w:t>ediaTek</w:t>
      </w:r>
      <w:bookmarkEnd w:id="505"/>
    </w:p>
    <w:p w14:paraId="6DD34B82" w14:textId="1A4EA863" w:rsidR="007429CA" w:rsidRPr="00642E9F" w:rsidRDefault="007429CA" w:rsidP="00C5144D">
      <w:pPr>
        <w:pStyle w:val="Reference"/>
        <w:keepLines w:val="0"/>
        <w:numPr>
          <w:ilvl w:val="0"/>
          <w:numId w:val="4"/>
        </w:numPr>
        <w:suppressAutoHyphens w:val="0"/>
        <w:autoSpaceDN w:val="0"/>
        <w:adjustRightInd w:val="0"/>
        <w:spacing w:before="100" w:beforeAutospacing="1" w:after="100" w:afterAutospacing="1"/>
        <w:jc w:val="both"/>
        <w:rPr>
          <w:szCs w:val="22"/>
        </w:rPr>
      </w:pPr>
      <w:r>
        <w:rPr>
          <w:szCs w:val="22"/>
        </w:rPr>
        <w:t>Chairman’s Notes</w:t>
      </w:r>
      <w:r>
        <w:tab/>
        <w:t>3GPP TSG RAN WG1 #9</w:t>
      </w:r>
      <w:bookmarkEnd w:id="504"/>
      <w:r w:rsidR="008B252A">
        <w:t>1</w:t>
      </w:r>
      <w:bookmarkEnd w:id="506"/>
    </w:p>
    <w:p w14:paraId="464FBAB8" w14:textId="38EA3162" w:rsidR="003D7ECA" w:rsidRPr="00FA27B9" w:rsidRDefault="003D7ECA" w:rsidP="003D7ECA">
      <w:pPr>
        <w:pStyle w:val="ListParagraph"/>
        <w:numPr>
          <w:ilvl w:val="0"/>
          <w:numId w:val="4"/>
        </w:numPr>
        <w:autoSpaceDN w:val="0"/>
        <w:adjustRightInd w:val="0"/>
        <w:spacing w:before="100" w:beforeAutospacing="1" w:after="100" w:afterAutospacing="1"/>
        <w:jc w:val="both"/>
      </w:pPr>
      <w:bookmarkStart w:id="507" w:name="_Ref503539947"/>
      <w:bookmarkStart w:id="508" w:name="_Ref503538761"/>
      <w:r w:rsidRPr="00642E9F">
        <w:rPr>
          <w:rFonts w:eastAsia="SimSun"/>
          <w:lang w:val="en-US" w:eastAsia="ar-SA"/>
        </w:rPr>
        <w:t>3GPP TS 38.21</w:t>
      </w:r>
      <w:r>
        <w:rPr>
          <w:rFonts w:eastAsia="SimSun"/>
          <w:lang w:val="en-US" w:eastAsia="ar-SA"/>
        </w:rPr>
        <w:t>2</w:t>
      </w:r>
      <w:r w:rsidRPr="00642E9F">
        <w:rPr>
          <w:rFonts w:eastAsia="SimSun"/>
          <w:lang w:val="en-US" w:eastAsia="ar-SA"/>
        </w:rPr>
        <w:t xml:space="preserve"> V15.0.0</w:t>
      </w:r>
      <w:r>
        <w:rPr>
          <w:rFonts w:eastAsia="SimSun"/>
          <w:lang w:val="en-US" w:eastAsia="ar-SA"/>
        </w:rPr>
        <w:t xml:space="preserve">, NR; </w:t>
      </w:r>
      <w:r w:rsidRPr="003D7ECA">
        <w:rPr>
          <w:rFonts w:eastAsia="SimSun"/>
          <w:lang w:val="en-US" w:eastAsia="ar-SA"/>
        </w:rPr>
        <w:t>Multiplexing and channel coding</w:t>
      </w:r>
      <w:r>
        <w:rPr>
          <w:rFonts w:eastAsia="SimSun"/>
          <w:lang w:val="en-US" w:eastAsia="ar-SA"/>
        </w:rPr>
        <w:t xml:space="preserve"> </w:t>
      </w:r>
      <w:r w:rsidRPr="00642E9F">
        <w:rPr>
          <w:rFonts w:eastAsia="SimSun"/>
          <w:lang w:val="en-US" w:eastAsia="ar-SA"/>
        </w:rPr>
        <w:t>(Release 15).</w:t>
      </w:r>
      <w:bookmarkEnd w:id="507"/>
    </w:p>
    <w:p w14:paraId="0015CE87" w14:textId="2ACE4592" w:rsidR="00642E9F" w:rsidRPr="00FA27B9" w:rsidRDefault="00642E9F" w:rsidP="00A32BAD">
      <w:pPr>
        <w:pStyle w:val="ListParagraph"/>
        <w:numPr>
          <w:ilvl w:val="0"/>
          <w:numId w:val="4"/>
        </w:numPr>
        <w:autoSpaceDN w:val="0"/>
        <w:adjustRightInd w:val="0"/>
        <w:spacing w:before="100" w:beforeAutospacing="1" w:after="100" w:afterAutospacing="1"/>
        <w:jc w:val="both"/>
      </w:pPr>
      <w:r w:rsidRPr="00642E9F">
        <w:rPr>
          <w:rFonts w:eastAsia="SimSun"/>
          <w:lang w:val="en-US" w:eastAsia="ar-SA"/>
        </w:rPr>
        <w:t>3GPP TS 38.214 V15.0.0, NR; Physical Layer Procedures for Data (Release 15).</w:t>
      </w:r>
      <w:bookmarkStart w:id="509" w:name="_Ref503536992"/>
      <w:bookmarkEnd w:id="508"/>
    </w:p>
    <w:p w14:paraId="6DAE79A9" w14:textId="37F5CAC8" w:rsidR="005D2557" w:rsidRDefault="005D2557" w:rsidP="00D5296D">
      <w:pPr>
        <w:pStyle w:val="ListParagraph"/>
        <w:numPr>
          <w:ilvl w:val="0"/>
          <w:numId w:val="4"/>
        </w:numPr>
        <w:autoSpaceDN w:val="0"/>
        <w:adjustRightInd w:val="0"/>
        <w:spacing w:before="100" w:beforeAutospacing="1" w:after="100" w:afterAutospacing="1"/>
        <w:jc w:val="both"/>
      </w:pPr>
      <w:r w:rsidRPr="00642E9F">
        <w:t>R1-</w:t>
      </w:r>
      <w:r w:rsidR="00D5296D" w:rsidRPr="00D5296D">
        <w:t>1800870</w:t>
      </w:r>
      <w:r w:rsidRPr="00642E9F">
        <w:t>, “</w:t>
      </w:r>
      <w:r w:rsidR="00D5296D">
        <w:t xml:space="preserve">Discussion on </w:t>
      </w:r>
      <w:r w:rsidRPr="00642E9F">
        <w:t>DCI related issues”, RAN1 AH 1801, Qualcomm.</w:t>
      </w:r>
      <w:bookmarkEnd w:id="509"/>
    </w:p>
    <w:p w14:paraId="6D31FBC6" w14:textId="06CBF3BE" w:rsidR="00777A4B" w:rsidRPr="000A2438" w:rsidRDefault="00777A4B" w:rsidP="00FA27B9">
      <w:pPr>
        <w:pStyle w:val="ListParagraph"/>
        <w:numPr>
          <w:ilvl w:val="0"/>
          <w:numId w:val="4"/>
        </w:numPr>
        <w:autoSpaceDN w:val="0"/>
        <w:adjustRightInd w:val="0"/>
        <w:spacing w:before="100" w:beforeAutospacing="1" w:after="100" w:afterAutospacing="1"/>
        <w:jc w:val="both"/>
      </w:pPr>
      <w:bookmarkStart w:id="510" w:name="_Ref503539380"/>
      <w:r>
        <w:t>R1-</w:t>
      </w:r>
      <w:r w:rsidR="00D5296D" w:rsidRPr="00D5296D">
        <w:t>1800857</w:t>
      </w:r>
      <w:r>
        <w:t>, “Remaining Details on CSI Measurement”, RAN1 AH 1801, Qualcomm.</w:t>
      </w:r>
      <w:bookmarkEnd w:id="510"/>
    </w:p>
    <w:p w14:paraId="13FAAD42" w14:textId="59A10810" w:rsidR="00BA6230" w:rsidRPr="00395DB2" w:rsidRDefault="00BA6230" w:rsidP="002B15CF"/>
    <w:sectPr w:rsidR="00BA6230" w:rsidRPr="00395DB2" w:rsidSect="008331BB">
      <w:headerReference w:type="even" r:id="rId27"/>
      <w:footerReference w:type="even" r:id="rId28"/>
      <w:footerReference w:type="default" r:id="rId29"/>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EAD6F" w14:textId="77777777" w:rsidR="00F96A1F" w:rsidRDefault="00F96A1F">
      <w:r>
        <w:separator/>
      </w:r>
    </w:p>
  </w:endnote>
  <w:endnote w:type="continuationSeparator" w:id="0">
    <w:p w14:paraId="5A9A12AD" w14:textId="77777777" w:rsidR="00F96A1F" w:rsidRDefault="00F96A1F">
      <w:r>
        <w:continuationSeparator/>
      </w:r>
    </w:p>
  </w:endnote>
  <w:endnote w:type="continuationNotice" w:id="1">
    <w:p w14:paraId="0D94F711" w14:textId="77777777" w:rsidR="00F96A1F" w:rsidRDefault="00F96A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1E1392" w:rsidRDefault="001E139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1E1392" w:rsidRDefault="001E139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3AE05422" w:rsidR="001E1392" w:rsidRDefault="001E139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85646">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5646">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FDA12" w14:textId="77777777" w:rsidR="00F96A1F" w:rsidRDefault="00F96A1F">
      <w:r>
        <w:separator/>
      </w:r>
    </w:p>
  </w:footnote>
  <w:footnote w:type="continuationSeparator" w:id="0">
    <w:p w14:paraId="4313611E" w14:textId="77777777" w:rsidR="00F96A1F" w:rsidRDefault="00F96A1F">
      <w:r>
        <w:continuationSeparator/>
      </w:r>
    </w:p>
  </w:footnote>
  <w:footnote w:type="continuationNotice" w:id="1">
    <w:p w14:paraId="5A4EF15C" w14:textId="77777777" w:rsidR="00F96A1F" w:rsidRDefault="00F96A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1E1392" w:rsidRDefault="001E139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E1DBD"/>
    <w:multiLevelType w:val="hybridMultilevel"/>
    <w:tmpl w:val="28A23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C14E2"/>
    <w:multiLevelType w:val="hybridMultilevel"/>
    <w:tmpl w:val="92404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3421EB"/>
    <w:multiLevelType w:val="hybridMultilevel"/>
    <w:tmpl w:val="B4826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2EFD"/>
    <w:multiLevelType w:val="hybridMultilevel"/>
    <w:tmpl w:val="203889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C53299"/>
    <w:multiLevelType w:val="hybridMultilevel"/>
    <w:tmpl w:val="CCFEC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C0CAA"/>
    <w:multiLevelType w:val="hybridMultilevel"/>
    <w:tmpl w:val="05FCF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419E4"/>
    <w:multiLevelType w:val="hybridMultilevel"/>
    <w:tmpl w:val="8BA8508E"/>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004001"/>
    <w:multiLevelType w:val="hybridMultilevel"/>
    <w:tmpl w:val="3D3CB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7F531B"/>
    <w:multiLevelType w:val="hybridMultilevel"/>
    <w:tmpl w:val="CF28E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D1A79"/>
    <w:multiLevelType w:val="hybridMultilevel"/>
    <w:tmpl w:val="A6581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DF5B5A"/>
    <w:multiLevelType w:val="hybridMultilevel"/>
    <w:tmpl w:val="7BB44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401F96"/>
    <w:multiLevelType w:val="hybridMultilevel"/>
    <w:tmpl w:val="0D42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D354B"/>
    <w:multiLevelType w:val="hybridMultilevel"/>
    <w:tmpl w:val="EEF28418"/>
    <w:lvl w:ilvl="0" w:tplc="673864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75549C"/>
    <w:multiLevelType w:val="hybridMultilevel"/>
    <w:tmpl w:val="A68E43D6"/>
    <w:lvl w:ilvl="0" w:tplc="83D06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936694"/>
    <w:multiLevelType w:val="hybridMultilevel"/>
    <w:tmpl w:val="0D8AC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558E1"/>
    <w:multiLevelType w:val="hybridMultilevel"/>
    <w:tmpl w:val="FFCCE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40CAC"/>
    <w:multiLevelType w:val="hybridMultilevel"/>
    <w:tmpl w:val="8B70E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cs="Times New Roman" w:hint="default"/>
      </w:rPr>
    </w:lvl>
    <w:lvl w:ilvl="1" w:tplc="2740252A">
      <w:start w:val="242"/>
      <w:numFmt w:val="bullet"/>
      <w:lvlText w:val="•"/>
      <w:lvlJc w:val="left"/>
      <w:pPr>
        <w:tabs>
          <w:tab w:val="num" w:pos="1440"/>
        </w:tabs>
        <w:ind w:left="1440" w:hanging="360"/>
      </w:pPr>
      <w:rPr>
        <w:rFonts w:ascii="Arial" w:hAnsi="Arial" w:cs="Times New Roman" w:hint="default"/>
      </w:rPr>
    </w:lvl>
    <w:lvl w:ilvl="2" w:tplc="3D7E9FE2">
      <w:start w:val="242"/>
      <w:numFmt w:val="bullet"/>
      <w:lvlText w:val="•"/>
      <w:lvlJc w:val="left"/>
      <w:pPr>
        <w:tabs>
          <w:tab w:val="num" w:pos="2160"/>
        </w:tabs>
        <w:ind w:left="2160" w:hanging="360"/>
      </w:pPr>
      <w:rPr>
        <w:rFonts w:ascii="Arial" w:hAnsi="Arial" w:cs="Times New Roman" w:hint="default"/>
      </w:rPr>
    </w:lvl>
    <w:lvl w:ilvl="3" w:tplc="3D206D28">
      <w:start w:val="242"/>
      <w:numFmt w:val="bullet"/>
      <w:lvlText w:val="•"/>
      <w:lvlJc w:val="left"/>
      <w:pPr>
        <w:tabs>
          <w:tab w:val="num" w:pos="2880"/>
        </w:tabs>
        <w:ind w:left="2880" w:hanging="360"/>
      </w:pPr>
      <w:rPr>
        <w:rFonts w:ascii="Arial" w:hAnsi="Arial" w:cs="Times New Roman" w:hint="default"/>
      </w:rPr>
    </w:lvl>
    <w:lvl w:ilvl="4" w:tplc="301AA90C">
      <w:start w:val="1"/>
      <w:numFmt w:val="bullet"/>
      <w:lvlText w:val="•"/>
      <w:lvlJc w:val="left"/>
      <w:pPr>
        <w:tabs>
          <w:tab w:val="num" w:pos="3600"/>
        </w:tabs>
        <w:ind w:left="3600" w:hanging="360"/>
      </w:pPr>
      <w:rPr>
        <w:rFonts w:ascii="Arial" w:hAnsi="Arial" w:cs="Times New Roman" w:hint="default"/>
      </w:rPr>
    </w:lvl>
    <w:lvl w:ilvl="5" w:tplc="A1523C68">
      <w:start w:val="1"/>
      <w:numFmt w:val="bullet"/>
      <w:lvlText w:val="•"/>
      <w:lvlJc w:val="left"/>
      <w:pPr>
        <w:tabs>
          <w:tab w:val="num" w:pos="4320"/>
        </w:tabs>
        <w:ind w:left="4320" w:hanging="360"/>
      </w:pPr>
      <w:rPr>
        <w:rFonts w:ascii="Arial" w:hAnsi="Arial" w:cs="Times New Roman" w:hint="default"/>
      </w:rPr>
    </w:lvl>
    <w:lvl w:ilvl="6" w:tplc="BB60DC2A">
      <w:start w:val="1"/>
      <w:numFmt w:val="bullet"/>
      <w:lvlText w:val="•"/>
      <w:lvlJc w:val="left"/>
      <w:pPr>
        <w:tabs>
          <w:tab w:val="num" w:pos="5040"/>
        </w:tabs>
        <w:ind w:left="5040" w:hanging="360"/>
      </w:pPr>
      <w:rPr>
        <w:rFonts w:ascii="Arial" w:hAnsi="Arial" w:cs="Times New Roman" w:hint="default"/>
      </w:rPr>
    </w:lvl>
    <w:lvl w:ilvl="7" w:tplc="CEF40D46">
      <w:start w:val="1"/>
      <w:numFmt w:val="bullet"/>
      <w:lvlText w:val="•"/>
      <w:lvlJc w:val="left"/>
      <w:pPr>
        <w:tabs>
          <w:tab w:val="num" w:pos="5760"/>
        </w:tabs>
        <w:ind w:left="5760" w:hanging="360"/>
      </w:pPr>
      <w:rPr>
        <w:rFonts w:ascii="Arial" w:hAnsi="Arial" w:cs="Times New Roman" w:hint="default"/>
      </w:rPr>
    </w:lvl>
    <w:lvl w:ilvl="8" w:tplc="8EEA0B5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8C4E5C"/>
    <w:multiLevelType w:val="hybridMultilevel"/>
    <w:tmpl w:val="3EBAB24E"/>
    <w:lvl w:ilvl="0" w:tplc="AF861DF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4"/>
  </w:num>
  <w:num w:numId="4">
    <w:abstractNumId w:val="0"/>
  </w:num>
  <w:num w:numId="5">
    <w:abstractNumId w:val="25"/>
  </w:num>
  <w:num w:numId="6">
    <w:abstractNumId w:val="13"/>
  </w:num>
  <w:num w:numId="7">
    <w:abstractNumId w:val="1"/>
  </w:num>
  <w:num w:numId="8">
    <w:abstractNumId w:val="10"/>
  </w:num>
  <w:num w:numId="9">
    <w:abstractNumId w:val="17"/>
  </w:num>
  <w:num w:numId="10">
    <w:abstractNumId w:val="11"/>
  </w:num>
  <w:num w:numId="11">
    <w:abstractNumId w:val="19"/>
  </w:num>
  <w:num w:numId="12">
    <w:abstractNumId w:val="7"/>
  </w:num>
  <w:num w:numId="13">
    <w:abstractNumId w:val="6"/>
  </w:num>
  <w:num w:numId="14">
    <w:abstractNumId w:val="18"/>
  </w:num>
  <w:num w:numId="15">
    <w:abstractNumId w:val="24"/>
  </w:num>
  <w:num w:numId="16">
    <w:abstractNumId w:val="15"/>
  </w:num>
  <w:num w:numId="17">
    <w:abstractNumId w:val="20"/>
  </w:num>
  <w:num w:numId="18">
    <w:abstractNumId w:val="16"/>
  </w:num>
  <w:num w:numId="19">
    <w:abstractNumId w:val="27"/>
  </w:num>
  <w:num w:numId="20">
    <w:abstractNumId w:val="5"/>
  </w:num>
  <w:num w:numId="21">
    <w:abstractNumId w:val="12"/>
  </w:num>
  <w:num w:numId="22">
    <w:abstractNumId w:val="22"/>
  </w:num>
  <w:num w:numId="23">
    <w:abstractNumId w:val="23"/>
  </w:num>
  <w:num w:numId="24">
    <w:abstractNumId w:val="8"/>
  </w:num>
  <w:num w:numId="25">
    <w:abstractNumId w:val="2"/>
  </w:num>
  <w:num w:numId="26">
    <w:abstractNumId w:val="26"/>
  </w:num>
  <w:num w:numId="27">
    <w:abstractNumId w:val="0"/>
    <w:lvlOverride w:ilvl="0">
      <w:startOverride w:val="1"/>
    </w:lvlOverride>
  </w:num>
  <w:num w:numId="28">
    <w:abstractNumId w:val="4"/>
  </w:num>
  <w:num w:numId="29">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E3E"/>
    <w:rsid w:val="00003131"/>
    <w:rsid w:val="00003227"/>
    <w:rsid w:val="000037FB"/>
    <w:rsid w:val="00003B0E"/>
    <w:rsid w:val="00003EF4"/>
    <w:rsid w:val="0000403F"/>
    <w:rsid w:val="00004885"/>
    <w:rsid w:val="000049E1"/>
    <w:rsid w:val="00004D8C"/>
    <w:rsid w:val="00004DBC"/>
    <w:rsid w:val="00004DCB"/>
    <w:rsid w:val="000051F0"/>
    <w:rsid w:val="0000545A"/>
    <w:rsid w:val="0000553B"/>
    <w:rsid w:val="000055B3"/>
    <w:rsid w:val="00005D97"/>
    <w:rsid w:val="000063BC"/>
    <w:rsid w:val="00006780"/>
    <w:rsid w:val="00006C7A"/>
    <w:rsid w:val="000070F5"/>
    <w:rsid w:val="000072BD"/>
    <w:rsid w:val="00007495"/>
    <w:rsid w:val="0000792C"/>
    <w:rsid w:val="00007B4B"/>
    <w:rsid w:val="00007D32"/>
    <w:rsid w:val="000101EF"/>
    <w:rsid w:val="00010DBF"/>
    <w:rsid w:val="00010E97"/>
    <w:rsid w:val="00010F20"/>
    <w:rsid w:val="00010FD1"/>
    <w:rsid w:val="0001117C"/>
    <w:rsid w:val="000124D1"/>
    <w:rsid w:val="00012973"/>
    <w:rsid w:val="00012B38"/>
    <w:rsid w:val="00012D57"/>
    <w:rsid w:val="0001321B"/>
    <w:rsid w:val="0001369A"/>
    <w:rsid w:val="000137BA"/>
    <w:rsid w:val="00013B63"/>
    <w:rsid w:val="00013F64"/>
    <w:rsid w:val="000141F0"/>
    <w:rsid w:val="00014E0E"/>
    <w:rsid w:val="00015814"/>
    <w:rsid w:val="00015BCB"/>
    <w:rsid w:val="00015CED"/>
    <w:rsid w:val="000162B2"/>
    <w:rsid w:val="0001645D"/>
    <w:rsid w:val="000164BB"/>
    <w:rsid w:val="000166FB"/>
    <w:rsid w:val="000167A6"/>
    <w:rsid w:val="00016DCE"/>
    <w:rsid w:val="00017309"/>
    <w:rsid w:val="00017798"/>
    <w:rsid w:val="00017EE3"/>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A58"/>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ECB"/>
    <w:rsid w:val="000300FE"/>
    <w:rsid w:val="00030619"/>
    <w:rsid w:val="000307C6"/>
    <w:rsid w:val="00030F74"/>
    <w:rsid w:val="00030F85"/>
    <w:rsid w:val="000312B4"/>
    <w:rsid w:val="0003134F"/>
    <w:rsid w:val="000317B2"/>
    <w:rsid w:val="00031DBF"/>
    <w:rsid w:val="00031EDD"/>
    <w:rsid w:val="000321DC"/>
    <w:rsid w:val="000325EF"/>
    <w:rsid w:val="0003280C"/>
    <w:rsid w:val="00032A0C"/>
    <w:rsid w:val="00033EB8"/>
    <w:rsid w:val="00034882"/>
    <w:rsid w:val="000349B7"/>
    <w:rsid w:val="0003540B"/>
    <w:rsid w:val="00035574"/>
    <w:rsid w:val="00036199"/>
    <w:rsid w:val="000365A2"/>
    <w:rsid w:val="00036814"/>
    <w:rsid w:val="0003698E"/>
    <w:rsid w:val="00036C45"/>
    <w:rsid w:val="00036FA7"/>
    <w:rsid w:val="000370B4"/>
    <w:rsid w:val="0003723F"/>
    <w:rsid w:val="000372BF"/>
    <w:rsid w:val="000377E3"/>
    <w:rsid w:val="000378AE"/>
    <w:rsid w:val="00037A21"/>
    <w:rsid w:val="00037C2D"/>
    <w:rsid w:val="000402B6"/>
    <w:rsid w:val="0004032C"/>
    <w:rsid w:val="000404F2"/>
    <w:rsid w:val="00040AAD"/>
    <w:rsid w:val="00040C15"/>
    <w:rsid w:val="000413B8"/>
    <w:rsid w:val="000416DE"/>
    <w:rsid w:val="0004182E"/>
    <w:rsid w:val="000418C8"/>
    <w:rsid w:val="0004198E"/>
    <w:rsid w:val="00041B22"/>
    <w:rsid w:val="00041D52"/>
    <w:rsid w:val="00041EC3"/>
    <w:rsid w:val="00042BFC"/>
    <w:rsid w:val="000430CF"/>
    <w:rsid w:val="00043266"/>
    <w:rsid w:val="00043407"/>
    <w:rsid w:val="00043703"/>
    <w:rsid w:val="00044225"/>
    <w:rsid w:val="00044576"/>
    <w:rsid w:val="00044872"/>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118"/>
    <w:rsid w:val="00060586"/>
    <w:rsid w:val="0006090A"/>
    <w:rsid w:val="00060FDB"/>
    <w:rsid w:val="000612C5"/>
    <w:rsid w:val="000613C1"/>
    <w:rsid w:val="000616E1"/>
    <w:rsid w:val="00061BDC"/>
    <w:rsid w:val="00061D2A"/>
    <w:rsid w:val="000621A9"/>
    <w:rsid w:val="0006263A"/>
    <w:rsid w:val="00062A40"/>
    <w:rsid w:val="00062D9A"/>
    <w:rsid w:val="000630FB"/>
    <w:rsid w:val="000631CE"/>
    <w:rsid w:val="00063485"/>
    <w:rsid w:val="00063F57"/>
    <w:rsid w:val="0006480B"/>
    <w:rsid w:val="0006482A"/>
    <w:rsid w:val="00064A2B"/>
    <w:rsid w:val="00064B46"/>
    <w:rsid w:val="00065016"/>
    <w:rsid w:val="00065031"/>
    <w:rsid w:val="00065033"/>
    <w:rsid w:val="000653AD"/>
    <w:rsid w:val="00065439"/>
    <w:rsid w:val="0006549C"/>
    <w:rsid w:val="000659DD"/>
    <w:rsid w:val="00065D64"/>
    <w:rsid w:val="000667D1"/>
    <w:rsid w:val="000669DA"/>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3F5E"/>
    <w:rsid w:val="000741B3"/>
    <w:rsid w:val="00074375"/>
    <w:rsid w:val="000743A0"/>
    <w:rsid w:val="00074A9E"/>
    <w:rsid w:val="00074BF5"/>
    <w:rsid w:val="0007528C"/>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08A"/>
    <w:rsid w:val="00085239"/>
    <w:rsid w:val="000855A3"/>
    <w:rsid w:val="00085A9C"/>
    <w:rsid w:val="00085F08"/>
    <w:rsid w:val="00086210"/>
    <w:rsid w:val="000862BA"/>
    <w:rsid w:val="000862F6"/>
    <w:rsid w:val="00086B50"/>
    <w:rsid w:val="00086C4D"/>
    <w:rsid w:val="00087462"/>
    <w:rsid w:val="0008760B"/>
    <w:rsid w:val="0008782D"/>
    <w:rsid w:val="00087E29"/>
    <w:rsid w:val="0009037D"/>
    <w:rsid w:val="00090394"/>
    <w:rsid w:val="00090573"/>
    <w:rsid w:val="00090779"/>
    <w:rsid w:val="00091ADD"/>
    <w:rsid w:val="00091C9C"/>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A6A"/>
    <w:rsid w:val="0009709B"/>
    <w:rsid w:val="000970D0"/>
    <w:rsid w:val="0009720E"/>
    <w:rsid w:val="00097297"/>
    <w:rsid w:val="000979F0"/>
    <w:rsid w:val="00097AE8"/>
    <w:rsid w:val="000A02DC"/>
    <w:rsid w:val="000A09A2"/>
    <w:rsid w:val="000A0CA1"/>
    <w:rsid w:val="000A0E99"/>
    <w:rsid w:val="000A153E"/>
    <w:rsid w:val="000A1AD3"/>
    <w:rsid w:val="000A1D49"/>
    <w:rsid w:val="000A23E5"/>
    <w:rsid w:val="000A2438"/>
    <w:rsid w:val="000A26E4"/>
    <w:rsid w:val="000A2D70"/>
    <w:rsid w:val="000A31F7"/>
    <w:rsid w:val="000A3ACB"/>
    <w:rsid w:val="000A3C82"/>
    <w:rsid w:val="000A40BA"/>
    <w:rsid w:val="000A49DE"/>
    <w:rsid w:val="000A4B74"/>
    <w:rsid w:val="000A4FEA"/>
    <w:rsid w:val="000A52F5"/>
    <w:rsid w:val="000A54DF"/>
    <w:rsid w:val="000A61CB"/>
    <w:rsid w:val="000A6252"/>
    <w:rsid w:val="000A64D8"/>
    <w:rsid w:val="000A6723"/>
    <w:rsid w:val="000A6783"/>
    <w:rsid w:val="000A6788"/>
    <w:rsid w:val="000A68A9"/>
    <w:rsid w:val="000A6AC6"/>
    <w:rsid w:val="000A6CFE"/>
    <w:rsid w:val="000A6F12"/>
    <w:rsid w:val="000A7C88"/>
    <w:rsid w:val="000B02C2"/>
    <w:rsid w:val="000B0546"/>
    <w:rsid w:val="000B081C"/>
    <w:rsid w:val="000B09AC"/>
    <w:rsid w:val="000B0E8D"/>
    <w:rsid w:val="000B10AB"/>
    <w:rsid w:val="000B10E2"/>
    <w:rsid w:val="000B130E"/>
    <w:rsid w:val="000B18FB"/>
    <w:rsid w:val="000B19F8"/>
    <w:rsid w:val="000B1CD3"/>
    <w:rsid w:val="000B256B"/>
    <w:rsid w:val="000B32D4"/>
    <w:rsid w:val="000B3838"/>
    <w:rsid w:val="000B38DA"/>
    <w:rsid w:val="000B3F37"/>
    <w:rsid w:val="000B4788"/>
    <w:rsid w:val="000B49D7"/>
    <w:rsid w:val="000B546F"/>
    <w:rsid w:val="000B5E13"/>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357"/>
    <w:rsid w:val="000C393F"/>
    <w:rsid w:val="000C4065"/>
    <w:rsid w:val="000C4137"/>
    <w:rsid w:val="000C4493"/>
    <w:rsid w:val="000C4538"/>
    <w:rsid w:val="000C4C76"/>
    <w:rsid w:val="000C5759"/>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1D3F"/>
    <w:rsid w:val="000D206C"/>
    <w:rsid w:val="000D2185"/>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BC0"/>
    <w:rsid w:val="000D5E4D"/>
    <w:rsid w:val="000D6E27"/>
    <w:rsid w:val="000D6E96"/>
    <w:rsid w:val="000D7268"/>
    <w:rsid w:val="000D7783"/>
    <w:rsid w:val="000E011D"/>
    <w:rsid w:val="000E03CF"/>
    <w:rsid w:val="000E0D89"/>
    <w:rsid w:val="000E0E37"/>
    <w:rsid w:val="000E1003"/>
    <w:rsid w:val="000E14B9"/>
    <w:rsid w:val="000E182B"/>
    <w:rsid w:val="000E1E8E"/>
    <w:rsid w:val="000E22A7"/>
    <w:rsid w:val="000E2787"/>
    <w:rsid w:val="000E279B"/>
    <w:rsid w:val="000E2D36"/>
    <w:rsid w:val="000E3075"/>
    <w:rsid w:val="000E331F"/>
    <w:rsid w:val="000E3358"/>
    <w:rsid w:val="000E38ED"/>
    <w:rsid w:val="000E3F84"/>
    <w:rsid w:val="000E40C3"/>
    <w:rsid w:val="000E41CA"/>
    <w:rsid w:val="000E4C9B"/>
    <w:rsid w:val="000E4D01"/>
    <w:rsid w:val="000E502E"/>
    <w:rsid w:val="000E5830"/>
    <w:rsid w:val="000E5C46"/>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A99"/>
    <w:rsid w:val="000F4C0A"/>
    <w:rsid w:val="000F4CAF"/>
    <w:rsid w:val="000F4D2F"/>
    <w:rsid w:val="000F4F44"/>
    <w:rsid w:val="000F53CB"/>
    <w:rsid w:val="000F6799"/>
    <w:rsid w:val="000F6881"/>
    <w:rsid w:val="000F6C32"/>
    <w:rsid w:val="000F6CB0"/>
    <w:rsid w:val="000F6D86"/>
    <w:rsid w:val="000F7CAD"/>
    <w:rsid w:val="00100097"/>
    <w:rsid w:val="001000E9"/>
    <w:rsid w:val="00100161"/>
    <w:rsid w:val="00100169"/>
    <w:rsid w:val="0010067A"/>
    <w:rsid w:val="001007A8"/>
    <w:rsid w:val="001009BB"/>
    <w:rsid w:val="00100E73"/>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C3"/>
    <w:rsid w:val="00106E7E"/>
    <w:rsid w:val="00106FF1"/>
    <w:rsid w:val="00107423"/>
    <w:rsid w:val="0010795D"/>
    <w:rsid w:val="0011034F"/>
    <w:rsid w:val="0011036F"/>
    <w:rsid w:val="00110570"/>
    <w:rsid w:val="00110851"/>
    <w:rsid w:val="001115C0"/>
    <w:rsid w:val="001115F4"/>
    <w:rsid w:val="001116D2"/>
    <w:rsid w:val="0011190B"/>
    <w:rsid w:val="00111AD9"/>
    <w:rsid w:val="0011211D"/>
    <w:rsid w:val="0011230B"/>
    <w:rsid w:val="001126ED"/>
    <w:rsid w:val="00112975"/>
    <w:rsid w:val="00112B8F"/>
    <w:rsid w:val="00112F06"/>
    <w:rsid w:val="001134DA"/>
    <w:rsid w:val="0011372B"/>
    <w:rsid w:val="00113D8F"/>
    <w:rsid w:val="001140FA"/>
    <w:rsid w:val="001141CF"/>
    <w:rsid w:val="00114353"/>
    <w:rsid w:val="00114379"/>
    <w:rsid w:val="001146A3"/>
    <w:rsid w:val="001146C6"/>
    <w:rsid w:val="001147B8"/>
    <w:rsid w:val="00114949"/>
    <w:rsid w:val="00114A78"/>
    <w:rsid w:val="00114E61"/>
    <w:rsid w:val="00114EA7"/>
    <w:rsid w:val="0011536C"/>
    <w:rsid w:val="00115617"/>
    <w:rsid w:val="00115716"/>
    <w:rsid w:val="0011584C"/>
    <w:rsid w:val="001158D5"/>
    <w:rsid w:val="00115D44"/>
    <w:rsid w:val="0011602A"/>
    <w:rsid w:val="001161A0"/>
    <w:rsid w:val="00116339"/>
    <w:rsid w:val="00116A2D"/>
    <w:rsid w:val="001175EF"/>
    <w:rsid w:val="00117677"/>
    <w:rsid w:val="00117957"/>
    <w:rsid w:val="00117C78"/>
    <w:rsid w:val="001201EA"/>
    <w:rsid w:val="001203DB"/>
    <w:rsid w:val="0012079F"/>
    <w:rsid w:val="001207F3"/>
    <w:rsid w:val="00120C13"/>
    <w:rsid w:val="00121769"/>
    <w:rsid w:val="00121E1A"/>
    <w:rsid w:val="001224F5"/>
    <w:rsid w:val="00122727"/>
    <w:rsid w:val="00122842"/>
    <w:rsid w:val="001232D2"/>
    <w:rsid w:val="0012345C"/>
    <w:rsid w:val="00123486"/>
    <w:rsid w:val="00123975"/>
    <w:rsid w:val="00123DED"/>
    <w:rsid w:val="00124349"/>
    <w:rsid w:val="001244C2"/>
    <w:rsid w:val="0012467D"/>
    <w:rsid w:val="001246EC"/>
    <w:rsid w:val="001249D7"/>
    <w:rsid w:val="001249FC"/>
    <w:rsid w:val="00124E10"/>
    <w:rsid w:val="00124FEA"/>
    <w:rsid w:val="00125078"/>
    <w:rsid w:val="0012523E"/>
    <w:rsid w:val="001252FE"/>
    <w:rsid w:val="001255A6"/>
    <w:rsid w:val="00125D34"/>
    <w:rsid w:val="0012636D"/>
    <w:rsid w:val="0012636F"/>
    <w:rsid w:val="001268D1"/>
    <w:rsid w:val="001274AC"/>
    <w:rsid w:val="001275E6"/>
    <w:rsid w:val="00127DE2"/>
    <w:rsid w:val="00127F28"/>
    <w:rsid w:val="0013016D"/>
    <w:rsid w:val="00130714"/>
    <w:rsid w:val="00130953"/>
    <w:rsid w:val="00130BBD"/>
    <w:rsid w:val="00131591"/>
    <w:rsid w:val="00131683"/>
    <w:rsid w:val="0013177A"/>
    <w:rsid w:val="00131A50"/>
    <w:rsid w:val="00131AC6"/>
    <w:rsid w:val="001321CE"/>
    <w:rsid w:val="001322B0"/>
    <w:rsid w:val="00132671"/>
    <w:rsid w:val="00132767"/>
    <w:rsid w:val="00132917"/>
    <w:rsid w:val="00132B5A"/>
    <w:rsid w:val="00132E89"/>
    <w:rsid w:val="0013327F"/>
    <w:rsid w:val="0013334C"/>
    <w:rsid w:val="00133EBD"/>
    <w:rsid w:val="00134953"/>
    <w:rsid w:val="00135015"/>
    <w:rsid w:val="00135095"/>
    <w:rsid w:val="00135517"/>
    <w:rsid w:val="0013573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5E2"/>
    <w:rsid w:val="001418FE"/>
    <w:rsid w:val="00141E46"/>
    <w:rsid w:val="00141ED1"/>
    <w:rsid w:val="00141F72"/>
    <w:rsid w:val="0014206B"/>
    <w:rsid w:val="00142093"/>
    <w:rsid w:val="001426D3"/>
    <w:rsid w:val="00142E42"/>
    <w:rsid w:val="00142F73"/>
    <w:rsid w:val="00142FBC"/>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6D9"/>
    <w:rsid w:val="001517AB"/>
    <w:rsid w:val="00151805"/>
    <w:rsid w:val="00151897"/>
    <w:rsid w:val="00152066"/>
    <w:rsid w:val="001522B3"/>
    <w:rsid w:val="00152559"/>
    <w:rsid w:val="00152744"/>
    <w:rsid w:val="00152A3B"/>
    <w:rsid w:val="0015347E"/>
    <w:rsid w:val="00153A48"/>
    <w:rsid w:val="00153A6B"/>
    <w:rsid w:val="00153E69"/>
    <w:rsid w:val="00153EEF"/>
    <w:rsid w:val="00153F29"/>
    <w:rsid w:val="001544AB"/>
    <w:rsid w:val="00154DE7"/>
    <w:rsid w:val="00154F0D"/>
    <w:rsid w:val="00155178"/>
    <w:rsid w:val="0015554F"/>
    <w:rsid w:val="00155D53"/>
    <w:rsid w:val="0015622B"/>
    <w:rsid w:val="00156260"/>
    <w:rsid w:val="00156284"/>
    <w:rsid w:val="0015638B"/>
    <w:rsid w:val="00156502"/>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2B7"/>
    <w:rsid w:val="0016368F"/>
    <w:rsid w:val="001639BC"/>
    <w:rsid w:val="00163AFC"/>
    <w:rsid w:val="00163C9A"/>
    <w:rsid w:val="00164646"/>
    <w:rsid w:val="001647FA"/>
    <w:rsid w:val="00164A74"/>
    <w:rsid w:val="00165137"/>
    <w:rsid w:val="001652DD"/>
    <w:rsid w:val="00165A42"/>
    <w:rsid w:val="00165D2D"/>
    <w:rsid w:val="00165D9A"/>
    <w:rsid w:val="001661E2"/>
    <w:rsid w:val="0016634F"/>
    <w:rsid w:val="001665D2"/>
    <w:rsid w:val="00166809"/>
    <w:rsid w:val="00166879"/>
    <w:rsid w:val="001669F9"/>
    <w:rsid w:val="00166D9E"/>
    <w:rsid w:val="00166EE2"/>
    <w:rsid w:val="0016700E"/>
    <w:rsid w:val="00167125"/>
    <w:rsid w:val="0016733C"/>
    <w:rsid w:val="0016764C"/>
    <w:rsid w:val="00167ACD"/>
    <w:rsid w:val="00167D18"/>
    <w:rsid w:val="00170397"/>
    <w:rsid w:val="00170482"/>
    <w:rsid w:val="001706E4"/>
    <w:rsid w:val="001708D0"/>
    <w:rsid w:val="00170B23"/>
    <w:rsid w:val="00170E05"/>
    <w:rsid w:val="00170EA1"/>
    <w:rsid w:val="00171661"/>
    <w:rsid w:val="00171876"/>
    <w:rsid w:val="00171B5E"/>
    <w:rsid w:val="00171BC2"/>
    <w:rsid w:val="00171D7E"/>
    <w:rsid w:val="00171F14"/>
    <w:rsid w:val="00172261"/>
    <w:rsid w:val="001729E1"/>
    <w:rsid w:val="00172B61"/>
    <w:rsid w:val="00172C20"/>
    <w:rsid w:val="00173711"/>
    <w:rsid w:val="001738A5"/>
    <w:rsid w:val="00173A00"/>
    <w:rsid w:val="00173D38"/>
    <w:rsid w:val="001742A6"/>
    <w:rsid w:val="00174913"/>
    <w:rsid w:val="00174DDB"/>
    <w:rsid w:val="00175009"/>
    <w:rsid w:val="001752EC"/>
    <w:rsid w:val="0017557B"/>
    <w:rsid w:val="00175A6E"/>
    <w:rsid w:val="00175B5A"/>
    <w:rsid w:val="00175EF2"/>
    <w:rsid w:val="00176414"/>
    <w:rsid w:val="00176BDB"/>
    <w:rsid w:val="0017714C"/>
    <w:rsid w:val="0017722E"/>
    <w:rsid w:val="00177447"/>
    <w:rsid w:val="00177482"/>
    <w:rsid w:val="00177711"/>
    <w:rsid w:val="00177A0D"/>
    <w:rsid w:val="00177AC2"/>
    <w:rsid w:val="00177DFF"/>
    <w:rsid w:val="00177EBD"/>
    <w:rsid w:val="0018016C"/>
    <w:rsid w:val="001806A9"/>
    <w:rsid w:val="00180860"/>
    <w:rsid w:val="00180D96"/>
    <w:rsid w:val="00180E60"/>
    <w:rsid w:val="001817BA"/>
    <w:rsid w:val="00181ABE"/>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6B55"/>
    <w:rsid w:val="00187540"/>
    <w:rsid w:val="0018767B"/>
    <w:rsid w:val="001902B8"/>
    <w:rsid w:val="0019059B"/>
    <w:rsid w:val="001908C5"/>
    <w:rsid w:val="00190927"/>
    <w:rsid w:val="001909DC"/>
    <w:rsid w:val="00190BD5"/>
    <w:rsid w:val="00190C5A"/>
    <w:rsid w:val="00190D28"/>
    <w:rsid w:val="00190D8F"/>
    <w:rsid w:val="00191727"/>
    <w:rsid w:val="00191EBF"/>
    <w:rsid w:val="001921F7"/>
    <w:rsid w:val="00192338"/>
    <w:rsid w:val="00192589"/>
    <w:rsid w:val="001925E5"/>
    <w:rsid w:val="001929F7"/>
    <w:rsid w:val="00193924"/>
    <w:rsid w:val="00193987"/>
    <w:rsid w:val="00193EEE"/>
    <w:rsid w:val="00194955"/>
    <w:rsid w:val="00195657"/>
    <w:rsid w:val="0019573B"/>
    <w:rsid w:val="0019592C"/>
    <w:rsid w:val="00196085"/>
    <w:rsid w:val="00196935"/>
    <w:rsid w:val="00196B90"/>
    <w:rsid w:val="00196DE8"/>
    <w:rsid w:val="00196FF4"/>
    <w:rsid w:val="0019734F"/>
    <w:rsid w:val="001A0303"/>
    <w:rsid w:val="001A0313"/>
    <w:rsid w:val="001A0676"/>
    <w:rsid w:val="001A067A"/>
    <w:rsid w:val="001A06C8"/>
    <w:rsid w:val="001A12AD"/>
    <w:rsid w:val="001A1337"/>
    <w:rsid w:val="001A1750"/>
    <w:rsid w:val="001A1798"/>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5941"/>
    <w:rsid w:val="001B5D54"/>
    <w:rsid w:val="001B5DBA"/>
    <w:rsid w:val="001B70CF"/>
    <w:rsid w:val="001B748B"/>
    <w:rsid w:val="001B768B"/>
    <w:rsid w:val="001B7905"/>
    <w:rsid w:val="001C0085"/>
    <w:rsid w:val="001C03D5"/>
    <w:rsid w:val="001C063F"/>
    <w:rsid w:val="001C0874"/>
    <w:rsid w:val="001C0883"/>
    <w:rsid w:val="001C0FF5"/>
    <w:rsid w:val="001C12A0"/>
    <w:rsid w:val="001C16A9"/>
    <w:rsid w:val="001C18B5"/>
    <w:rsid w:val="001C1919"/>
    <w:rsid w:val="001C19EB"/>
    <w:rsid w:val="001C1E53"/>
    <w:rsid w:val="001C211D"/>
    <w:rsid w:val="001C22B1"/>
    <w:rsid w:val="001C2A8B"/>
    <w:rsid w:val="001C3434"/>
    <w:rsid w:val="001C3474"/>
    <w:rsid w:val="001C3DC6"/>
    <w:rsid w:val="001C3E02"/>
    <w:rsid w:val="001C4A39"/>
    <w:rsid w:val="001C4F5F"/>
    <w:rsid w:val="001C54B8"/>
    <w:rsid w:val="001C589B"/>
    <w:rsid w:val="001C58A6"/>
    <w:rsid w:val="001C5BC8"/>
    <w:rsid w:val="001C5DBB"/>
    <w:rsid w:val="001C5F88"/>
    <w:rsid w:val="001C60F0"/>
    <w:rsid w:val="001C6182"/>
    <w:rsid w:val="001C619C"/>
    <w:rsid w:val="001C639F"/>
    <w:rsid w:val="001C66D2"/>
    <w:rsid w:val="001C7426"/>
    <w:rsid w:val="001C7F47"/>
    <w:rsid w:val="001D006C"/>
    <w:rsid w:val="001D056C"/>
    <w:rsid w:val="001D0578"/>
    <w:rsid w:val="001D0593"/>
    <w:rsid w:val="001D1258"/>
    <w:rsid w:val="001D19F8"/>
    <w:rsid w:val="001D1CFF"/>
    <w:rsid w:val="001D1E1F"/>
    <w:rsid w:val="001D23A3"/>
    <w:rsid w:val="001D2B3C"/>
    <w:rsid w:val="001D2E6C"/>
    <w:rsid w:val="001D2F8F"/>
    <w:rsid w:val="001D35DC"/>
    <w:rsid w:val="001D3901"/>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392"/>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19E"/>
    <w:rsid w:val="001F45E8"/>
    <w:rsid w:val="001F4E57"/>
    <w:rsid w:val="001F4FE7"/>
    <w:rsid w:val="001F53A2"/>
    <w:rsid w:val="001F5C95"/>
    <w:rsid w:val="001F5C9E"/>
    <w:rsid w:val="001F5E73"/>
    <w:rsid w:val="001F5ED8"/>
    <w:rsid w:val="001F5F10"/>
    <w:rsid w:val="001F644E"/>
    <w:rsid w:val="001F6889"/>
    <w:rsid w:val="001F6E45"/>
    <w:rsid w:val="001F7317"/>
    <w:rsid w:val="001F798D"/>
    <w:rsid w:val="001F7DD6"/>
    <w:rsid w:val="002000F2"/>
    <w:rsid w:val="002000FC"/>
    <w:rsid w:val="0020085F"/>
    <w:rsid w:val="0020087C"/>
    <w:rsid w:val="00200920"/>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23B"/>
    <w:rsid w:val="002047DE"/>
    <w:rsid w:val="00204981"/>
    <w:rsid w:val="00204A5A"/>
    <w:rsid w:val="00204C12"/>
    <w:rsid w:val="00205543"/>
    <w:rsid w:val="00205635"/>
    <w:rsid w:val="002059A3"/>
    <w:rsid w:val="00205A84"/>
    <w:rsid w:val="00205AB2"/>
    <w:rsid w:val="00205CB2"/>
    <w:rsid w:val="00205D98"/>
    <w:rsid w:val="0020610B"/>
    <w:rsid w:val="002063A7"/>
    <w:rsid w:val="0020671A"/>
    <w:rsid w:val="0020674D"/>
    <w:rsid w:val="00206BF6"/>
    <w:rsid w:val="00206E5A"/>
    <w:rsid w:val="00207613"/>
    <w:rsid w:val="00207847"/>
    <w:rsid w:val="00207A74"/>
    <w:rsid w:val="00207AF9"/>
    <w:rsid w:val="00207BB9"/>
    <w:rsid w:val="00207C55"/>
    <w:rsid w:val="00207EB6"/>
    <w:rsid w:val="00210174"/>
    <w:rsid w:val="0021065B"/>
    <w:rsid w:val="002109D5"/>
    <w:rsid w:val="00210A2E"/>
    <w:rsid w:val="00210B05"/>
    <w:rsid w:val="00210C84"/>
    <w:rsid w:val="00210C91"/>
    <w:rsid w:val="00210F18"/>
    <w:rsid w:val="00210F42"/>
    <w:rsid w:val="00211042"/>
    <w:rsid w:val="00211345"/>
    <w:rsid w:val="002114FA"/>
    <w:rsid w:val="00211D31"/>
    <w:rsid w:val="00211DD9"/>
    <w:rsid w:val="002123ED"/>
    <w:rsid w:val="00212816"/>
    <w:rsid w:val="002130BD"/>
    <w:rsid w:val="00213851"/>
    <w:rsid w:val="00214D12"/>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7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36A0"/>
    <w:rsid w:val="002344C8"/>
    <w:rsid w:val="002349C5"/>
    <w:rsid w:val="002349C8"/>
    <w:rsid w:val="00234B73"/>
    <w:rsid w:val="00234CBE"/>
    <w:rsid w:val="00234D8C"/>
    <w:rsid w:val="002352E8"/>
    <w:rsid w:val="00235581"/>
    <w:rsid w:val="00235698"/>
    <w:rsid w:val="002361C8"/>
    <w:rsid w:val="00236B8F"/>
    <w:rsid w:val="00236F71"/>
    <w:rsid w:val="00237143"/>
    <w:rsid w:val="002373FC"/>
    <w:rsid w:val="00237C6F"/>
    <w:rsid w:val="00237D22"/>
    <w:rsid w:val="0024029F"/>
    <w:rsid w:val="00240487"/>
    <w:rsid w:val="00240956"/>
    <w:rsid w:val="00240B7D"/>
    <w:rsid w:val="00240C63"/>
    <w:rsid w:val="00240F65"/>
    <w:rsid w:val="0024103F"/>
    <w:rsid w:val="00241C7B"/>
    <w:rsid w:val="00241D6D"/>
    <w:rsid w:val="002421F2"/>
    <w:rsid w:val="002427AF"/>
    <w:rsid w:val="0024284B"/>
    <w:rsid w:val="0024286B"/>
    <w:rsid w:val="00242B2A"/>
    <w:rsid w:val="00242CAE"/>
    <w:rsid w:val="00243ACD"/>
    <w:rsid w:val="00243B7F"/>
    <w:rsid w:val="00243FCB"/>
    <w:rsid w:val="0024445A"/>
    <w:rsid w:val="00244606"/>
    <w:rsid w:val="00244924"/>
    <w:rsid w:val="002449F4"/>
    <w:rsid w:val="00244B06"/>
    <w:rsid w:val="00245115"/>
    <w:rsid w:val="0024514D"/>
    <w:rsid w:val="00245167"/>
    <w:rsid w:val="0024520E"/>
    <w:rsid w:val="0024530E"/>
    <w:rsid w:val="00245492"/>
    <w:rsid w:val="00245A41"/>
    <w:rsid w:val="00245B70"/>
    <w:rsid w:val="00245D7D"/>
    <w:rsid w:val="00245E39"/>
    <w:rsid w:val="00245E49"/>
    <w:rsid w:val="00245FBA"/>
    <w:rsid w:val="00245FDB"/>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39D5"/>
    <w:rsid w:val="0025429A"/>
    <w:rsid w:val="0025655A"/>
    <w:rsid w:val="00256A6D"/>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682"/>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4"/>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B88"/>
    <w:rsid w:val="0028164E"/>
    <w:rsid w:val="0028168F"/>
    <w:rsid w:val="00281DD5"/>
    <w:rsid w:val="002825CE"/>
    <w:rsid w:val="0028272A"/>
    <w:rsid w:val="00283165"/>
    <w:rsid w:val="002832E7"/>
    <w:rsid w:val="00283B6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07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15"/>
    <w:rsid w:val="002B10F9"/>
    <w:rsid w:val="002B12C7"/>
    <w:rsid w:val="002B15CF"/>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0FF"/>
    <w:rsid w:val="002B61F1"/>
    <w:rsid w:val="002B64FE"/>
    <w:rsid w:val="002B694E"/>
    <w:rsid w:val="002B6D31"/>
    <w:rsid w:val="002B70A2"/>
    <w:rsid w:val="002B7D56"/>
    <w:rsid w:val="002C04C2"/>
    <w:rsid w:val="002C0818"/>
    <w:rsid w:val="002C0D11"/>
    <w:rsid w:val="002C15DA"/>
    <w:rsid w:val="002C1B17"/>
    <w:rsid w:val="002C1D21"/>
    <w:rsid w:val="002C203A"/>
    <w:rsid w:val="002C2AE9"/>
    <w:rsid w:val="002C2B29"/>
    <w:rsid w:val="002C2E8A"/>
    <w:rsid w:val="002C2FCD"/>
    <w:rsid w:val="002C3AE4"/>
    <w:rsid w:val="002C3E89"/>
    <w:rsid w:val="002C42AA"/>
    <w:rsid w:val="002C4AF6"/>
    <w:rsid w:val="002C5533"/>
    <w:rsid w:val="002C5620"/>
    <w:rsid w:val="002C587C"/>
    <w:rsid w:val="002C5A6B"/>
    <w:rsid w:val="002C61E0"/>
    <w:rsid w:val="002C640C"/>
    <w:rsid w:val="002C6D3C"/>
    <w:rsid w:val="002C7114"/>
    <w:rsid w:val="002C74E6"/>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D78EF"/>
    <w:rsid w:val="002D7EA0"/>
    <w:rsid w:val="002E0E5E"/>
    <w:rsid w:val="002E0E94"/>
    <w:rsid w:val="002E15A5"/>
    <w:rsid w:val="002E16BC"/>
    <w:rsid w:val="002E1E06"/>
    <w:rsid w:val="002E25D2"/>
    <w:rsid w:val="002E2738"/>
    <w:rsid w:val="002E2923"/>
    <w:rsid w:val="002E2A76"/>
    <w:rsid w:val="002E306D"/>
    <w:rsid w:val="002E31D5"/>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D03"/>
    <w:rsid w:val="002F22C3"/>
    <w:rsid w:val="002F2AE0"/>
    <w:rsid w:val="002F31C4"/>
    <w:rsid w:val="002F322F"/>
    <w:rsid w:val="002F3885"/>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C2"/>
    <w:rsid w:val="00314CBB"/>
    <w:rsid w:val="0031599D"/>
    <w:rsid w:val="00315DEC"/>
    <w:rsid w:val="00316064"/>
    <w:rsid w:val="00316C58"/>
    <w:rsid w:val="00316EAE"/>
    <w:rsid w:val="00317050"/>
    <w:rsid w:val="003170FD"/>
    <w:rsid w:val="00317625"/>
    <w:rsid w:val="0031767A"/>
    <w:rsid w:val="00317731"/>
    <w:rsid w:val="00317BC5"/>
    <w:rsid w:val="00317C5E"/>
    <w:rsid w:val="0032013F"/>
    <w:rsid w:val="0032018E"/>
    <w:rsid w:val="00320310"/>
    <w:rsid w:val="00320B1B"/>
    <w:rsid w:val="00320B31"/>
    <w:rsid w:val="00320F1B"/>
    <w:rsid w:val="0032151E"/>
    <w:rsid w:val="0032172E"/>
    <w:rsid w:val="003217FD"/>
    <w:rsid w:val="00321822"/>
    <w:rsid w:val="00321B02"/>
    <w:rsid w:val="00321E03"/>
    <w:rsid w:val="0032287E"/>
    <w:rsid w:val="00322BC3"/>
    <w:rsid w:val="00322C2B"/>
    <w:rsid w:val="00322E3B"/>
    <w:rsid w:val="00323273"/>
    <w:rsid w:val="003232E3"/>
    <w:rsid w:val="00323FAD"/>
    <w:rsid w:val="00324089"/>
    <w:rsid w:val="00324701"/>
    <w:rsid w:val="0032489D"/>
    <w:rsid w:val="003249F8"/>
    <w:rsid w:val="0032556B"/>
    <w:rsid w:val="0032651E"/>
    <w:rsid w:val="003267A6"/>
    <w:rsid w:val="00326965"/>
    <w:rsid w:val="003271E3"/>
    <w:rsid w:val="003272D0"/>
    <w:rsid w:val="003273DE"/>
    <w:rsid w:val="003278C7"/>
    <w:rsid w:val="0032793B"/>
    <w:rsid w:val="00327AEA"/>
    <w:rsid w:val="00327C3F"/>
    <w:rsid w:val="00327D99"/>
    <w:rsid w:val="00327FA5"/>
    <w:rsid w:val="00327FBE"/>
    <w:rsid w:val="003308C4"/>
    <w:rsid w:val="00330C30"/>
    <w:rsid w:val="00330DE8"/>
    <w:rsid w:val="00332123"/>
    <w:rsid w:val="003321C3"/>
    <w:rsid w:val="003324FC"/>
    <w:rsid w:val="00332962"/>
    <w:rsid w:val="00333D8E"/>
    <w:rsid w:val="003346F8"/>
    <w:rsid w:val="00334E18"/>
    <w:rsid w:val="00335250"/>
    <w:rsid w:val="00335670"/>
    <w:rsid w:val="0033572D"/>
    <w:rsid w:val="0033592C"/>
    <w:rsid w:val="00335E2A"/>
    <w:rsid w:val="003365CE"/>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305B"/>
    <w:rsid w:val="0034307F"/>
    <w:rsid w:val="00343C24"/>
    <w:rsid w:val="00343FA6"/>
    <w:rsid w:val="00344725"/>
    <w:rsid w:val="00344901"/>
    <w:rsid w:val="0034511B"/>
    <w:rsid w:val="003453BF"/>
    <w:rsid w:val="00345AE6"/>
    <w:rsid w:val="0034745C"/>
    <w:rsid w:val="003474CD"/>
    <w:rsid w:val="0034774C"/>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59C"/>
    <w:rsid w:val="003617B5"/>
    <w:rsid w:val="0036185C"/>
    <w:rsid w:val="00361B1A"/>
    <w:rsid w:val="00361C43"/>
    <w:rsid w:val="0036227D"/>
    <w:rsid w:val="0036262C"/>
    <w:rsid w:val="00362C5A"/>
    <w:rsid w:val="003635B6"/>
    <w:rsid w:val="0036362F"/>
    <w:rsid w:val="00363FC9"/>
    <w:rsid w:val="00364C7B"/>
    <w:rsid w:val="00365023"/>
    <w:rsid w:val="00365644"/>
    <w:rsid w:val="0036590C"/>
    <w:rsid w:val="003665C5"/>
    <w:rsid w:val="00366B3A"/>
    <w:rsid w:val="00370285"/>
    <w:rsid w:val="003704EE"/>
    <w:rsid w:val="00370880"/>
    <w:rsid w:val="00370EFD"/>
    <w:rsid w:val="00371137"/>
    <w:rsid w:val="003711C5"/>
    <w:rsid w:val="003713B4"/>
    <w:rsid w:val="00371965"/>
    <w:rsid w:val="003719F5"/>
    <w:rsid w:val="00371C1D"/>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24"/>
    <w:rsid w:val="00376E0C"/>
    <w:rsid w:val="0037709A"/>
    <w:rsid w:val="00377146"/>
    <w:rsid w:val="003771CA"/>
    <w:rsid w:val="00377397"/>
    <w:rsid w:val="0037757C"/>
    <w:rsid w:val="003775BD"/>
    <w:rsid w:val="0038040A"/>
    <w:rsid w:val="00380520"/>
    <w:rsid w:val="00380543"/>
    <w:rsid w:val="00380602"/>
    <w:rsid w:val="00380892"/>
    <w:rsid w:val="00380BBD"/>
    <w:rsid w:val="00380FF5"/>
    <w:rsid w:val="003813CE"/>
    <w:rsid w:val="0038158E"/>
    <w:rsid w:val="003821E7"/>
    <w:rsid w:val="0038269E"/>
    <w:rsid w:val="00382903"/>
    <w:rsid w:val="003839B6"/>
    <w:rsid w:val="00383D4B"/>
    <w:rsid w:val="00383DDB"/>
    <w:rsid w:val="003842A8"/>
    <w:rsid w:val="003846C9"/>
    <w:rsid w:val="00384747"/>
    <w:rsid w:val="003848D9"/>
    <w:rsid w:val="00384BC0"/>
    <w:rsid w:val="003852CC"/>
    <w:rsid w:val="003853A0"/>
    <w:rsid w:val="00385A70"/>
    <w:rsid w:val="00385BD7"/>
    <w:rsid w:val="003862EA"/>
    <w:rsid w:val="00386688"/>
    <w:rsid w:val="00386A15"/>
    <w:rsid w:val="00386B71"/>
    <w:rsid w:val="0038702D"/>
    <w:rsid w:val="003870BC"/>
    <w:rsid w:val="0038732E"/>
    <w:rsid w:val="003875A7"/>
    <w:rsid w:val="00387675"/>
    <w:rsid w:val="00387771"/>
    <w:rsid w:val="0038780F"/>
    <w:rsid w:val="00387866"/>
    <w:rsid w:val="00387868"/>
    <w:rsid w:val="00387B2B"/>
    <w:rsid w:val="00390414"/>
    <w:rsid w:val="00390449"/>
    <w:rsid w:val="003904B1"/>
    <w:rsid w:val="003907D2"/>
    <w:rsid w:val="00390C56"/>
    <w:rsid w:val="0039122C"/>
    <w:rsid w:val="0039124D"/>
    <w:rsid w:val="00391354"/>
    <w:rsid w:val="00391A92"/>
    <w:rsid w:val="00391C99"/>
    <w:rsid w:val="003926BE"/>
    <w:rsid w:val="003929BE"/>
    <w:rsid w:val="003929D3"/>
    <w:rsid w:val="00392A1F"/>
    <w:rsid w:val="00392DB8"/>
    <w:rsid w:val="00392FA0"/>
    <w:rsid w:val="003933FD"/>
    <w:rsid w:val="00393A68"/>
    <w:rsid w:val="00393B78"/>
    <w:rsid w:val="003946B1"/>
    <w:rsid w:val="00394775"/>
    <w:rsid w:val="00394948"/>
    <w:rsid w:val="00394B44"/>
    <w:rsid w:val="00394D6C"/>
    <w:rsid w:val="0039502C"/>
    <w:rsid w:val="0039511F"/>
    <w:rsid w:val="003956FE"/>
    <w:rsid w:val="0039570D"/>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BD6"/>
    <w:rsid w:val="003A2D39"/>
    <w:rsid w:val="003A2FE7"/>
    <w:rsid w:val="003A349E"/>
    <w:rsid w:val="003A38AC"/>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AAF"/>
    <w:rsid w:val="003B4B90"/>
    <w:rsid w:val="003B4D9B"/>
    <w:rsid w:val="003B4E9C"/>
    <w:rsid w:val="003B4F75"/>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B1C"/>
    <w:rsid w:val="003C4F25"/>
    <w:rsid w:val="003C64CD"/>
    <w:rsid w:val="003C6580"/>
    <w:rsid w:val="003C6CCB"/>
    <w:rsid w:val="003C6CD8"/>
    <w:rsid w:val="003C6DA9"/>
    <w:rsid w:val="003C7855"/>
    <w:rsid w:val="003C7AE8"/>
    <w:rsid w:val="003D0240"/>
    <w:rsid w:val="003D06A7"/>
    <w:rsid w:val="003D0868"/>
    <w:rsid w:val="003D09DA"/>
    <w:rsid w:val="003D0D75"/>
    <w:rsid w:val="003D1CD0"/>
    <w:rsid w:val="003D1F11"/>
    <w:rsid w:val="003D22AC"/>
    <w:rsid w:val="003D2339"/>
    <w:rsid w:val="003D26AA"/>
    <w:rsid w:val="003D2E43"/>
    <w:rsid w:val="003D3AD8"/>
    <w:rsid w:val="003D3EE3"/>
    <w:rsid w:val="003D4350"/>
    <w:rsid w:val="003D4409"/>
    <w:rsid w:val="003D519A"/>
    <w:rsid w:val="003D5717"/>
    <w:rsid w:val="003D5878"/>
    <w:rsid w:val="003D59FE"/>
    <w:rsid w:val="003D5AF5"/>
    <w:rsid w:val="003D63BA"/>
    <w:rsid w:val="003D6598"/>
    <w:rsid w:val="003D680E"/>
    <w:rsid w:val="003D69ED"/>
    <w:rsid w:val="003D6B43"/>
    <w:rsid w:val="003D73CF"/>
    <w:rsid w:val="003D740C"/>
    <w:rsid w:val="003D79E8"/>
    <w:rsid w:val="003D7CC1"/>
    <w:rsid w:val="003D7ECA"/>
    <w:rsid w:val="003D7F46"/>
    <w:rsid w:val="003E00D2"/>
    <w:rsid w:val="003E0487"/>
    <w:rsid w:val="003E0622"/>
    <w:rsid w:val="003E089F"/>
    <w:rsid w:val="003E0974"/>
    <w:rsid w:val="003E0ADB"/>
    <w:rsid w:val="003E0CE4"/>
    <w:rsid w:val="003E16FD"/>
    <w:rsid w:val="003E1868"/>
    <w:rsid w:val="003E1B00"/>
    <w:rsid w:val="003E1CF4"/>
    <w:rsid w:val="003E23A4"/>
    <w:rsid w:val="003E27B0"/>
    <w:rsid w:val="003E2818"/>
    <w:rsid w:val="003E2BF4"/>
    <w:rsid w:val="003E300E"/>
    <w:rsid w:val="003E3015"/>
    <w:rsid w:val="003E3524"/>
    <w:rsid w:val="003E37AD"/>
    <w:rsid w:val="003E37FC"/>
    <w:rsid w:val="003E3944"/>
    <w:rsid w:val="003E3B07"/>
    <w:rsid w:val="003E3C5B"/>
    <w:rsid w:val="003E3CA6"/>
    <w:rsid w:val="003E40C9"/>
    <w:rsid w:val="003E416F"/>
    <w:rsid w:val="003E44DC"/>
    <w:rsid w:val="003E4884"/>
    <w:rsid w:val="003E4CDB"/>
    <w:rsid w:val="003E5DD3"/>
    <w:rsid w:val="003E60F4"/>
    <w:rsid w:val="003E6289"/>
    <w:rsid w:val="003E6592"/>
    <w:rsid w:val="003E679D"/>
    <w:rsid w:val="003E6A3C"/>
    <w:rsid w:val="003E700A"/>
    <w:rsid w:val="003E7313"/>
    <w:rsid w:val="003E73BC"/>
    <w:rsid w:val="003E76BB"/>
    <w:rsid w:val="003E7706"/>
    <w:rsid w:val="003E7C5E"/>
    <w:rsid w:val="003E7CB1"/>
    <w:rsid w:val="003F0077"/>
    <w:rsid w:val="003F0656"/>
    <w:rsid w:val="003F066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95B"/>
    <w:rsid w:val="00404D4D"/>
    <w:rsid w:val="00404FCC"/>
    <w:rsid w:val="00405898"/>
    <w:rsid w:val="00405A9F"/>
    <w:rsid w:val="00405D95"/>
    <w:rsid w:val="00405F90"/>
    <w:rsid w:val="00406108"/>
    <w:rsid w:val="00406412"/>
    <w:rsid w:val="00406589"/>
    <w:rsid w:val="00406D4A"/>
    <w:rsid w:val="00406D9D"/>
    <w:rsid w:val="00406F4B"/>
    <w:rsid w:val="00406FBD"/>
    <w:rsid w:val="004073B0"/>
    <w:rsid w:val="00407612"/>
    <w:rsid w:val="0041029D"/>
    <w:rsid w:val="004102A7"/>
    <w:rsid w:val="00411230"/>
    <w:rsid w:val="00411472"/>
    <w:rsid w:val="00411558"/>
    <w:rsid w:val="004116C3"/>
    <w:rsid w:val="004118C9"/>
    <w:rsid w:val="00412263"/>
    <w:rsid w:val="0041249C"/>
    <w:rsid w:val="00412697"/>
    <w:rsid w:val="00412735"/>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658"/>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49D0"/>
    <w:rsid w:val="00424CE4"/>
    <w:rsid w:val="004251F8"/>
    <w:rsid w:val="004253B1"/>
    <w:rsid w:val="00425C97"/>
    <w:rsid w:val="00425E42"/>
    <w:rsid w:val="00425FFD"/>
    <w:rsid w:val="004262F8"/>
    <w:rsid w:val="00426442"/>
    <w:rsid w:val="0042654A"/>
    <w:rsid w:val="00426A93"/>
    <w:rsid w:val="00426D1A"/>
    <w:rsid w:val="00426DFA"/>
    <w:rsid w:val="004272ED"/>
    <w:rsid w:val="004276E3"/>
    <w:rsid w:val="00427B9D"/>
    <w:rsid w:val="00427BFB"/>
    <w:rsid w:val="00427E67"/>
    <w:rsid w:val="00430178"/>
    <w:rsid w:val="004303B3"/>
    <w:rsid w:val="0043042C"/>
    <w:rsid w:val="00430495"/>
    <w:rsid w:val="0043063B"/>
    <w:rsid w:val="00430733"/>
    <w:rsid w:val="00430CD1"/>
    <w:rsid w:val="00430D78"/>
    <w:rsid w:val="00431149"/>
    <w:rsid w:val="0043189C"/>
    <w:rsid w:val="004318FF"/>
    <w:rsid w:val="00431CB1"/>
    <w:rsid w:val="00431DB5"/>
    <w:rsid w:val="0043270B"/>
    <w:rsid w:val="00432780"/>
    <w:rsid w:val="00432F8F"/>
    <w:rsid w:val="00432F9E"/>
    <w:rsid w:val="00433106"/>
    <w:rsid w:val="0043359F"/>
    <w:rsid w:val="00433D8A"/>
    <w:rsid w:val="00434066"/>
    <w:rsid w:val="004342F4"/>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589"/>
    <w:rsid w:val="00437895"/>
    <w:rsid w:val="00437E77"/>
    <w:rsid w:val="004402A7"/>
    <w:rsid w:val="0044035D"/>
    <w:rsid w:val="00440850"/>
    <w:rsid w:val="00440EA5"/>
    <w:rsid w:val="0044142F"/>
    <w:rsid w:val="0044173B"/>
    <w:rsid w:val="004425C2"/>
    <w:rsid w:val="004426FE"/>
    <w:rsid w:val="00442824"/>
    <w:rsid w:val="00442FFB"/>
    <w:rsid w:val="004430FD"/>
    <w:rsid w:val="00443490"/>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2EF"/>
    <w:rsid w:val="00446424"/>
    <w:rsid w:val="0044662A"/>
    <w:rsid w:val="004478FA"/>
    <w:rsid w:val="00447FB0"/>
    <w:rsid w:val="004503F9"/>
    <w:rsid w:val="00450778"/>
    <w:rsid w:val="00450D15"/>
    <w:rsid w:val="00450D3B"/>
    <w:rsid w:val="0045169D"/>
    <w:rsid w:val="004518D5"/>
    <w:rsid w:val="00451B06"/>
    <w:rsid w:val="00451BEB"/>
    <w:rsid w:val="004520FE"/>
    <w:rsid w:val="004527C0"/>
    <w:rsid w:val="00453871"/>
    <w:rsid w:val="00453980"/>
    <w:rsid w:val="00453BB4"/>
    <w:rsid w:val="00453DEF"/>
    <w:rsid w:val="004540AC"/>
    <w:rsid w:val="004543E4"/>
    <w:rsid w:val="004548E5"/>
    <w:rsid w:val="00454ACD"/>
    <w:rsid w:val="00454F08"/>
    <w:rsid w:val="00454F85"/>
    <w:rsid w:val="00455105"/>
    <w:rsid w:val="0045567D"/>
    <w:rsid w:val="00455E20"/>
    <w:rsid w:val="00456114"/>
    <w:rsid w:val="0045623E"/>
    <w:rsid w:val="00456971"/>
    <w:rsid w:val="00456AC7"/>
    <w:rsid w:val="004570F5"/>
    <w:rsid w:val="004572BA"/>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52A"/>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5F5"/>
    <w:rsid w:val="004636FA"/>
    <w:rsid w:val="0046400B"/>
    <w:rsid w:val="004641A0"/>
    <w:rsid w:val="0046434B"/>
    <w:rsid w:val="00464A82"/>
    <w:rsid w:val="00464EE0"/>
    <w:rsid w:val="00465158"/>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A7F"/>
    <w:rsid w:val="00492C2F"/>
    <w:rsid w:val="0049349F"/>
    <w:rsid w:val="004935A4"/>
    <w:rsid w:val="004938AA"/>
    <w:rsid w:val="00493D08"/>
    <w:rsid w:val="00494329"/>
    <w:rsid w:val="004949D8"/>
    <w:rsid w:val="00494E75"/>
    <w:rsid w:val="00495071"/>
    <w:rsid w:val="004961DB"/>
    <w:rsid w:val="0049653E"/>
    <w:rsid w:val="00496BEF"/>
    <w:rsid w:val="00496DC2"/>
    <w:rsid w:val="00496E38"/>
    <w:rsid w:val="004973AF"/>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51A"/>
    <w:rsid w:val="004A366E"/>
    <w:rsid w:val="004A36C0"/>
    <w:rsid w:val="004A3AA3"/>
    <w:rsid w:val="004A3CB9"/>
    <w:rsid w:val="004A44AE"/>
    <w:rsid w:val="004A4625"/>
    <w:rsid w:val="004A4900"/>
    <w:rsid w:val="004A4D38"/>
    <w:rsid w:val="004A4E7E"/>
    <w:rsid w:val="004A4E95"/>
    <w:rsid w:val="004A4EB4"/>
    <w:rsid w:val="004A51FA"/>
    <w:rsid w:val="004A5270"/>
    <w:rsid w:val="004A57FC"/>
    <w:rsid w:val="004A5D36"/>
    <w:rsid w:val="004A6794"/>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BD3"/>
    <w:rsid w:val="004B2C33"/>
    <w:rsid w:val="004B2CDB"/>
    <w:rsid w:val="004B2DE8"/>
    <w:rsid w:val="004B2F6E"/>
    <w:rsid w:val="004B321F"/>
    <w:rsid w:val="004B3C3F"/>
    <w:rsid w:val="004B45A2"/>
    <w:rsid w:val="004B46C3"/>
    <w:rsid w:val="004B4789"/>
    <w:rsid w:val="004B4A0F"/>
    <w:rsid w:val="004B4F6B"/>
    <w:rsid w:val="004B50E0"/>
    <w:rsid w:val="004B50E8"/>
    <w:rsid w:val="004B55EC"/>
    <w:rsid w:val="004B6301"/>
    <w:rsid w:val="004B6FFB"/>
    <w:rsid w:val="004B7311"/>
    <w:rsid w:val="004B795F"/>
    <w:rsid w:val="004B7BA5"/>
    <w:rsid w:val="004C0346"/>
    <w:rsid w:val="004C0B5B"/>
    <w:rsid w:val="004C0B9A"/>
    <w:rsid w:val="004C0C5C"/>
    <w:rsid w:val="004C0F99"/>
    <w:rsid w:val="004C108A"/>
    <w:rsid w:val="004C130D"/>
    <w:rsid w:val="004C1624"/>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BF"/>
    <w:rsid w:val="004D68C0"/>
    <w:rsid w:val="004D70E1"/>
    <w:rsid w:val="004D710C"/>
    <w:rsid w:val="004D7721"/>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AD"/>
    <w:rsid w:val="004E6158"/>
    <w:rsid w:val="004E6184"/>
    <w:rsid w:val="004E6463"/>
    <w:rsid w:val="004E6CEA"/>
    <w:rsid w:val="004E6DF0"/>
    <w:rsid w:val="004E6EAC"/>
    <w:rsid w:val="004E6F18"/>
    <w:rsid w:val="004E76A5"/>
    <w:rsid w:val="004E7B18"/>
    <w:rsid w:val="004E7B7F"/>
    <w:rsid w:val="004E7C85"/>
    <w:rsid w:val="004F01B4"/>
    <w:rsid w:val="004F020A"/>
    <w:rsid w:val="004F02AB"/>
    <w:rsid w:val="004F0548"/>
    <w:rsid w:val="004F133C"/>
    <w:rsid w:val="004F13D2"/>
    <w:rsid w:val="004F1443"/>
    <w:rsid w:val="004F152A"/>
    <w:rsid w:val="004F1633"/>
    <w:rsid w:val="004F180E"/>
    <w:rsid w:val="004F18ED"/>
    <w:rsid w:val="004F1A00"/>
    <w:rsid w:val="004F1AEF"/>
    <w:rsid w:val="004F20AA"/>
    <w:rsid w:val="004F2826"/>
    <w:rsid w:val="004F2AA6"/>
    <w:rsid w:val="004F2B9C"/>
    <w:rsid w:val="004F2CCE"/>
    <w:rsid w:val="004F3368"/>
    <w:rsid w:val="004F359A"/>
    <w:rsid w:val="004F3DD1"/>
    <w:rsid w:val="004F4E53"/>
    <w:rsid w:val="004F547E"/>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D6D"/>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670"/>
    <w:rsid w:val="00504BF5"/>
    <w:rsid w:val="00504C4B"/>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3E6"/>
    <w:rsid w:val="00510444"/>
    <w:rsid w:val="00510626"/>
    <w:rsid w:val="00510CE2"/>
    <w:rsid w:val="00511599"/>
    <w:rsid w:val="005119D6"/>
    <w:rsid w:val="00511A36"/>
    <w:rsid w:val="00511E67"/>
    <w:rsid w:val="00512747"/>
    <w:rsid w:val="00512A7B"/>
    <w:rsid w:val="00512D39"/>
    <w:rsid w:val="00513845"/>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ED3"/>
    <w:rsid w:val="00533F4E"/>
    <w:rsid w:val="005347FB"/>
    <w:rsid w:val="00534963"/>
    <w:rsid w:val="005349EB"/>
    <w:rsid w:val="00534AA6"/>
    <w:rsid w:val="00534C83"/>
    <w:rsid w:val="00534EE4"/>
    <w:rsid w:val="00535933"/>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228D"/>
    <w:rsid w:val="0054340E"/>
    <w:rsid w:val="0054348B"/>
    <w:rsid w:val="005436D7"/>
    <w:rsid w:val="00543703"/>
    <w:rsid w:val="00543A06"/>
    <w:rsid w:val="00543A66"/>
    <w:rsid w:val="00543A83"/>
    <w:rsid w:val="00543B1F"/>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483"/>
    <w:rsid w:val="00551593"/>
    <w:rsid w:val="00551E52"/>
    <w:rsid w:val="00552038"/>
    <w:rsid w:val="0055228D"/>
    <w:rsid w:val="00552300"/>
    <w:rsid w:val="0055233E"/>
    <w:rsid w:val="00552569"/>
    <w:rsid w:val="005528E1"/>
    <w:rsid w:val="00552E20"/>
    <w:rsid w:val="00552EA3"/>
    <w:rsid w:val="00552FF4"/>
    <w:rsid w:val="00553777"/>
    <w:rsid w:val="00553A48"/>
    <w:rsid w:val="00553ABB"/>
    <w:rsid w:val="0055410A"/>
    <w:rsid w:val="005546A4"/>
    <w:rsid w:val="005547CB"/>
    <w:rsid w:val="00554B9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1A1"/>
    <w:rsid w:val="00562757"/>
    <w:rsid w:val="005627C0"/>
    <w:rsid w:val="00562CDC"/>
    <w:rsid w:val="00563FD2"/>
    <w:rsid w:val="0056434D"/>
    <w:rsid w:val="00564597"/>
    <w:rsid w:val="00564EB9"/>
    <w:rsid w:val="00564ED1"/>
    <w:rsid w:val="0056532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15D"/>
    <w:rsid w:val="005753CA"/>
    <w:rsid w:val="005753DB"/>
    <w:rsid w:val="005756BD"/>
    <w:rsid w:val="00575E09"/>
    <w:rsid w:val="005760C5"/>
    <w:rsid w:val="005766EA"/>
    <w:rsid w:val="00576903"/>
    <w:rsid w:val="00576A37"/>
    <w:rsid w:val="00577368"/>
    <w:rsid w:val="005773FF"/>
    <w:rsid w:val="00577540"/>
    <w:rsid w:val="005777AC"/>
    <w:rsid w:val="00577E83"/>
    <w:rsid w:val="00577EB4"/>
    <w:rsid w:val="00580F52"/>
    <w:rsid w:val="00581081"/>
    <w:rsid w:val="005815D2"/>
    <w:rsid w:val="005818D4"/>
    <w:rsid w:val="005819D7"/>
    <w:rsid w:val="00581AB8"/>
    <w:rsid w:val="00581B69"/>
    <w:rsid w:val="00581C6E"/>
    <w:rsid w:val="00581F40"/>
    <w:rsid w:val="005829CC"/>
    <w:rsid w:val="00582E3D"/>
    <w:rsid w:val="00583147"/>
    <w:rsid w:val="005836D0"/>
    <w:rsid w:val="00583DEF"/>
    <w:rsid w:val="00583E78"/>
    <w:rsid w:val="00584028"/>
    <w:rsid w:val="00584496"/>
    <w:rsid w:val="005852AA"/>
    <w:rsid w:val="00585867"/>
    <w:rsid w:val="00585A55"/>
    <w:rsid w:val="00585C3A"/>
    <w:rsid w:val="00586013"/>
    <w:rsid w:val="0058628A"/>
    <w:rsid w:val="00586B34"/>
    <w:rsid w:val="00587117"/>
    <w:rsid w:val="0058759B"/>
    <w:rsid w:val="0058764D"/>
    <w:rsid w:val="00587D47"/>
    <w:rsid w:val="005909AD"/>
    <w:rsid w:val="00590BF6"/>
    <w:rsid w:val="00591B9C"/>
    <w:rsid w:val="00591C29"/>
    <w:rsid w:val="00592160"/>
    <w:rsid w:val="005923C9"/>
    <w:rsid w:val="0059284F"/>
    <w:rsid w:val="00592E68"/>
    <w:rsid w:val="0059323A"/>
    <w:rsid w:val="00593447"/>
    <w:rsid w:val="00594131"/>
    <w:rsid w:val="005943C6"/>
    <w:rsid w:val="005946E2"/>
    <w:rsid w:val="0059476C"/>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352"/>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5D60"/>
    <w:rsid w:val="005A6223"/>
    <w:rsid w:val="005A6A3A"/>
    <w:rsid w:val="005A6E87"/>
    <w:rsid w:val="005A7F72"/>
    <w:rsid w:val="005B005D"/>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3F6"/>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6D7"/>
    <w:rsid w:val="005C4B4D"/>
    <w:rsid w:val="005C4CD6"/>
    <w:rsid w:val="005C4DE3"/>
    <w:rsid w:val="005C5024"/>
    <w:rsid w:val="005C5372"/>
    <w:rsid w:val="005C5379"/>
    <w:rsid w:val="005C537D"/>
    <w:rsid w:val="005C5425"/>
    <w:rsid w:val="005C5849"/>
    <w:rsid w:val="005C5A28"/>
    <w:rsid w:val="005C6222"/>
    <w:rsid w:val="005C6502"/>
    <w:rsid w:val="005C6B26"/>
    <w:rsid w:val="005C6F22"/>
    <w:rsid w:val="005C772B"/>
    <w:rsid w:val="005C7A54"/>
    <w:rsid w:val="005C7CAD"/>
    <w:rsid w:val="005C7CF2"/>
    <w:rsid w:val="005C7EF8"/>
    <w:rsid w:val="005D01D7"/>
    <w:rsid w:val="005D02FA"/>
    <w:rsid w:val="005D047B"/>
    <w:rsid w:val="005D0790"/>
    <w:rsid w:val="005D0D3E"/>
    <w:rsid w:val="005D17BF"/>
    <w:rsid w:val="005D17F9"/>
    <w:rsid w:val="005D18B1"/>
    <w:rsid w:val="005D20FC"/>
    <w:rsid w:val="005D24A2"/>
    <w:rsid w:val="005D2557"/>
    <w:rsid w:val="005D25D7"/>
    <w:rsid w:val="005D2A49"/>
    <w:rsid w:val="005D2B1D"/>
    <w:rsid w:val="005D2CB0"/>
    <w:rsid w:val="005D2EE8"/>
    <w:rsid w:val="005D3534"/>
    <w:rsid w:val="005D3707"/>
    <w:rsid w:val="005D382F"/>
    <w:rsid w:val="005D3AF0"/>
    <w:rsid w:val="005D3BFD"/>
    <w:rsid w:val="005D46E9"/>
    <w:rsid w:val="005D5012"/>
    <w:rsid w:val="005D5E46"/>
    <w:rsid w:val="005D609E"/>
    <w:rsid w:val="005D6331"/>
    <w:rsid w:val="005D64A5"/>
    <w:rsid w:val="005D6929"/>
    <w:rsid w:val="005D69D5"/>
    <w:rsid w:val="005D6AF9"/>
    <w:rsid w:val="005D6B30"/>
    <w:rsid w:val="005D6E1C"/>
    <w:rsid w:val="005D7458"/>
    <w:rsid w:val="005D7539"/>
    <w:rsid w:val="005D76F4"/>
    <w:rsid w:val="005D7E04"/>
    <w:rsid w:val="005E0082"/>
    <w:rsid w:val="005E06E1"/>
    <w:rsid w:val="005E0899"/>
    <w:rsid w:val="005E1393"/>
    <w:rsid w:val="005E1411"/>
    <w:rsid w:val="005E15FB"/>
    <w:rsid w:val="005E18CE"/>
    <w:rsid w:val="005E2213"/>
    <w:rsid w:val="005E3035"/>
    <w:rsid w:val="005E35FD"/>
    <w:rsid w:val="005E383F"/>
    <w:rsid w:val="005E3B77"/>
    <w:rsid w:val="005E3F5F"/>
    <w:rsid w:val="005E45D1"/>
    <w:rsid w:val="005E48F7"/>
    <w:rsid w:val="005E4CCB"/>
    <w:rsid w:val="005E4FBF"/>
    <w:rsid w:val="005E5379"/>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AC8"/>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3DBD"/>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0B2"/>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8A1"/>
    <w:rsid w:val="00621B6A"/>
    <w:rsid w:val="00621C0B"/>
    <w:rsid w:val="00621C72"/>
    <w:rsid w:val="00621CAD"/>
    <w:rsid w:val="00622DCC"/>
    <w:rsid w:val="00623427"/>
    <w:rsid w:val="006234D3"/>
    <w:rsid w:val="00623AEB"/>
    <w:rsid w:val="00623E4E"/>
    <w:rsid w:val="00624C2C"/>
    <w:rsid w:val="00624C6E"/>
    <w:rsid w:val="00624FB3"/>
    <w:rsid w:val="00624FF1"/>
    <w:rsid w:val="006254D3"/>
    <w:rsid w:val="0062587D"/>
    <w:rsid w:val="00625B24"/>
    <w:rsid w:val="0062602F"/>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943"/>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2E9F"/>
    <w:rsid w:val="006430D5"/>
    <w:rsid w:val="00643769"/>
    <w:rsid w:val="006437D5"/>
    <w:rsid w:val="00643891"/>
    <w:rsid w:val="00643DCD"/>
    <w:rsid w:val="00643DD1"/>
    <w:rsid w:val="00644200"/>
    <w:rsid w:val="0064428B"/>
    <w:rsid w:val="006443C6"/>
    <w:rsid w:val="00644511"/>
    <w:rsid w:val="0064486C"/>
    <w:rsid w:val="00644E60"/>
    <w:rsid w:val="00645190"/>
    <w:rsid w:val="00645ACC"/>
    <w:rsid w:val="0064615B"/>
    <w:rsid w:val="006466B5"/>
    <w:rsid w:val="006477A7"/>
    <w:rsid w:val="00647BB6"/>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6FA1"/>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346"/>
    <w:rsid w:val="0068079C"/>
    <w:rsid w:val="00680A97"/>
    <w:rsid w:val="00680F30"/>
    <w:rsid w:val="00680F81"/>
    <w:rsid w:val="0068102D"/>
    <w:rsid w:val="00681254"/>
    <w:rsid w:val="00681307"/>
    <w:rsid w:val="00681F4E"/>
    <w:rsid w:val="006820C0"/>
    <w:rsid w:val="0068226B"/>
    <w:rsid w:val="00682E47"/>
    <w:rsid w:val="00682ED3"/>
    <w:rsid w:val="006839BA"/>
    <w:rsid w:val="00683D7F"/>
    <w:rsid w:val="00683E9E"/>
    <w:rsid w:val="00684258"/>
    <w:rsid w:val="006845C9"/>
    <w:rsid w:val="006853FF"/>
    <w:rsid w:val="00685646"/>
    <w:rsid w:val="00685725"/>
    <w:rsid w:val="00685834"/>
    <w:rsid w:val="00685D3B"/>
    <w:rsid w:val="00685DB7"/>
    <w:rsid w:val="0068623E"/>
    <w:rsid w:val="00686366"/>
    <w:rsid w:val="0068653A"/>
    <w:rsid w:val="00686644"/>
    <w:rsid w:val="00686A14"/>
    <w:rsid w:val="00686FAD"/>
    <w:rsid w:val="0068721F"/>
    <w:rsid w:val="006878B2"/>
    <w:rsid w:val="00687A10"/>
    <w:rsid w:val="00690D12"/>
    <w:rsid w:val="00690F0E"/>
    <w:rsid w:val="006919C5"/>
    <w:rsid w:val="00692200"/>
    <w:rsid w:val="00692799"/>
    <w:rsid w:val="006927F0"/>
    <w:rsid w:val="00692982"/>
    <w:rsid w:val="00692A0D"/>
    <w:rsid w:val="00692BDC"/>
    <w:rsid w:val="00693077"/>
    <w:rsid w:val="00693295"/>
    <w:rsid w:val="00693529"/>
    <w:rsid w:val="006935E1"/>
    <w:rsid w:val="00693872"/>
    <w:rsid w:val="00693A5C"/>
    <w:rsid w:val="00693F0A"/>
    <w:rsid w:val="00694283"/>
    <w:rsid w:val="0069447C"/>
    <w:rsid w:val="006949AD"/>
    <w:rsid w:val="00694E1F"/>
    <w:rsid w:val="00696244"/>
    <w:rsid w:val="006969D6"/>
    <w:rsid w:val="00696B6A"/>
    <w:rsid w:val="00696DD1"/>
    <w:rsid w:val="0069755C"/>
    <w:rsid w:val="0069771A"/>
    <w:rsid w:val="006979DC"/>
    <w:rsid w:val="00697C2C"/>
    <w:rsid w:val="00697DCF"/>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F94"/>
    <w:rsid w:val="006A40D0"/>
    <w:rsid w:val="006A4113"/>
    <w:rsid w:val="006A444A"/>
    <w:rsid w:val="006A49B5"/>
    <w:rsid w:val="006A4C6C"/>
    <w:rsid w:val="006A4F1A"/>
    <w:rsid w:val="006A4FF3"/>
    <w:rsid w:val="006A5985"/>
    <w:rsid w:val="006A5A45"/>
    <w:rsid w:val="006A5CA3"/>
    <w:rsid w:val="006A5D5C"/>
    <w:rsid w:val="006A5E26"/>
    <w:rsid w:val="006A6B3F"/>
    <w:rsid w:val="006A6B69"/>
    <w:rsid w:val="006A74C0"/>
    <w:rsid w:val="006A7574"/>
    <w:rsid w:val="006B0489"/>
    <w:rsid w:val="006B05F5"/>
    <w:rsid w:val="006B0A30"/>
    <w:rsid w:val="006B0FC1"/>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11A"/>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B2C"/>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02"/>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0CF"/>
    <w:rsid w:val="006D72E1"/>
    <w:rsid w:val="006D74C9"/>
    <w:rsid w:val="006D7598"/>
    <w:rsid w:val="006D7B93"/>
    <w:rsid w:val="006D7BBD"/>
    <w:rsid w:val="006D7C30"/>
    <w:rsid w:val="006D7D69"/>
    <w:rsid w:val="006D7DAD"/>
    <w:rsid w:val="006D7EC6"/>
    <w:rsid w:val="006E0113"/>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C05"/>
    <w:rsid w:val="006E7E49"/>
    <w:rsid w:val="006E7F71"/>
    <w:rsid w:val="006F0209"/>
    <w:rsid w:val="006F05C2"/>
    <w:rsid w:val="006F090B"/>
    <w:rsid w:val="006F0C12"/>
    <w:rsid w:val="006F0DB2"/>
    <w:rsid w:val="006F0E38"/>
    <w:rsid w:val="006F0EB1"/>
    <w:rsid w:val="006F13B3"/>
    <w:rsid w:val="006F1D86"/>
    <w:rsid w:val="006F1E30"/>
    <w:rsid w:val="006F20A6"/>
    <w:rsid w:val="006F20A7"/>
    <w:rsid w:val="006F291E"/>
    <w:rsid w:val="006F3052"/>
    <w:rsid w:val="006F314D"/>
    <w:rsid w:val="006F3B01"/>
    <w:rsid w:val="006F3C66"/>
    <w:rsid w:val="006F4189"/>
    <w:rsid w:val="006F42A4"/>
    <w:rsid w:val="006F468E"/>
    <w:rsid w:val="006F52C0"/>
    <w:rsid w:val="006F557B"/>
    <w:rsid w:val="006F5674"/>
    <w:rsid w:val="006F5B41"/>
    <w:rsid w:val="006F6689"/>
    <w:rsid w:val="006F6740"/>
    <w:rsid w:val="006F6FEA"/>
    <w:rsid w:val="006F70E1"/>
    <w:rsid w:val="006F7427"/>
    <w:rsid w:val="006F746D"/>
    <w:rsid w:val="006F77F9"/>
    <w:rsid w:val="006F7A6B"/>
    <w:rsid w:val="006F7A92"/>
    <w:rsid w:val="006F7E42"/>
    <w:rsid w:val="00700042"/>
    <w:rsid w:val="0070013F"/>
    <w:rsid w:val="0070023A"/>
    <w:rsid w:val="00700531"/>
    <w:rsid w:val="0070063F"/>
    <w:rsid w:val="0070124B"/>
    <w:rsid w:val="00701405"/>
    <w:rsid w:val="007017EA"/>
    <w:rsid w:val="0070181F"/>
    <w:rsid w:val="0070193E"/>
    <w:rsid w:val="00701B27"/>
    <w:rsid w:val="00701F97"/>
    <w:rsid w:val="007022D3"/>
    <w:rsid w:val="00702711"/>
    <w:rsid w:val="007032E6"/>
    <w:rsid w:val="007036E5"/>
    <w:rsid w:val="00703D8A"/>
    <w:rsid w:val="00704123"/>
    <w:rsid w:val="00704641"/>
    <w:rsid w:val="007047A7"/>
    <w:rsid w:val="007047FA"/>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1E68"/>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0C24"/>
    <w:rsid w:val="007215A9"/>
    <w:rsid w:val="0072190B"/>
    <w:rsid w:val="00721CB7"/>
    <w:rsid w:val="00721DB3"/>
    <w:rsid w:val="00721E1D"/>
    <w:rsid w:val="00722260"/>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60"/>
    <w:rsid w:val="00725068"/>
    <w:rsid w:val="0072560E"/>
    <w:rsid w:val="00725CB6"/>
    <w:rsid w:val="00725CDC"/>
    <w:rsid w:val="00726281"/>
    <w:rsid w:val="0072650B"/>
    <w:rsid w:val="00726537"/>
    <w:rsid w:val="0072665F"/>
    <w:rsid w:val="007273EC"/>
    <w:rsid w:val="007279F1"/>
    <w:rsid w:val="00727E9F"/>
    <w:rsid w:val="00730BCB"/>
    <w:rsid w:val="00730F0F"/>
    <w:rsid w:val="0073128B"/>
    <w:rsid w:val="0073150C"/>
    <w:rsid w:val="0073171A"/>
    <w:rsid w:val="007325D3"/>
    <w:rsid w:val="00732885"/>
    <w:rsid w:val="00732C7F"/>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9CA"/>
    <w:rsid w:val="00742A51"/>
    <w:rsid w:val="00743468"/>
    <w:rsid w:val="007435B1"/>
    <w:rsid w:val="007436B1"/>
    <w:rsid w:val="007436D5"/>
    <w:rsid w:val="00743867"/>
    <w:rsid w:val="00744055"/>
    <w:rsid w:val="0074443A"/>
    <w:rsid w:val="0074462D"/>
    <w:rsid w:val="0074475B"/>
    <w:rsid w:val="00744E4F"/>
    <w:rsid w:val="00744E5D"/>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1FD1"/>
    <w:rsid w:val="00752497"/>
    <w:rsid w:val="007524E2"/>
    <w:rsid w:val="00752FE7"/>
    <w:rsid w:val="00753F01"/>
    <w:rsid w:val="0075412E"/>
    <w:rsid w:val="007545E6"/>
    <w:rsid w:val="00754747"/>
    <w:rsid w:val="00754C1A"/>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C4C"/>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679"/>
    <w:rsid w:val="007768F2"/>
    <w:rsid w:val="00776C10"/>
    <w:rsid w:val="00776E9E"/>
    <w:rsid w:val="00776F98"/>
    <w:rsid w:val="00777053"/>
    <w:rsid w:val="007775DE"/>
    <w:rsid w:val="00777A30"/>
    <w:rsid w:val="00777A4B"/>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A37"/>
    <w:rsid w:val="00782D8A"/>
    <w:rsid w:val="007833C3"/>
    <w:rsid w:val="007837BE"/>
    <w:rsid w:val="0078380D"/>
    <w:rsid w:val="00784112"/>
    <w:rsid w:val="007842FE"/>
    <w:rsid w:val="0078440C"/>
    <w:rsid w:val="00784702"/>
    <w:rsid w:val="00784C31"/>
    <w:rsid w:val="00784E91"/>
    <w:rsid w:val="00784EA1"/>
    <w:rsid w:val="00784ECF"/>
    <w:rsid w:val="00784FC7"/>
    <w:rsid w:val="007859E1"/>
    <w:rsid w:val="00785AF5"/>
    <w:rsid w:val="0078618F"/>
    <w:rsid w:val="007861D1"/>
    <w:rsid w:val="00786272"/>
    <w:rsid w:val="007864B2"/>
    <w:rsid w:val="007864F6"/>
    <w:rsid w:val="00786620"/>
    <w:rsid w:val="0078681A"/>
    <w:rsid w:val="007868B7"/>
    <w:rsid w:val="00786BC0"/>
    <w:rsid w:val="00786E22"/>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319"/>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26"/>
    <w:rsid w:val="007A32E9"/>
    <w:rsid w:val="007A3395"/>
    <w:rsid w:val="007A3505"/>
    <w:rsid w:val="007A3BF2"/>
    <w:rsid w:val="007A4338"/>
    <w:rsid w:val="007A4AF1"/>
    <w:rsid w:val="007A5288"/>
    <w:rsid w:val="007A5639"/>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6F0"/>
    <w:rsid w:val="007B5A66"/>
    <w:rsid w:val="007B630D"/>
    <w:rsid w:val="007B645F"/>
    <w:rsid w:val="007B6B0D"/>
    <w:rsid w:val="007B77FB"/>
    <w:rsid w:val="007B7D50"/>
    <w:rsid w:val="007B7D58"/>
    <w:rsid w:val="007B7E59"/>
    <w:rsid w:val="007C0880"/>
    <w:rsid w:val="007C0AE5"/>
    <w:rsid w:val="007C0BD2"/>
    <w:rsid w:val="007C0F3A"/>
    <w:rsid w:val="007C0FA1"/>
    <w:rsid w:val="007C1065"/>
    <w:rsid w:val="007C14BD"/>
    <w:rsid w:val="007C1537"/>
    <w:rsid w:val="007C15C1"/>
    <w:rsid w:val="007C198E"/>
    <w:rsid w:val="007C1B94"/>
    <w:rsid w:val="007C22E6"/>
    <w:rsid w:val="007C24DB"/>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75"/>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2B"/>
    <w:rsid w:val="007D1B7C"/>
    <w:rsid w:val="007D214A"/>
    <w:rsid w:val="007D357E"/>
    <w:rsid w:val="007D3889"/>
    <w:rsid w:val="007D39D7"/>
    <w:rsid w:val="007D478D"/>
    <w:rsid w:val="007D4838"/>
    <w:rsid w:val="007D4940"/>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2D"/>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507"/>
    <w:rsid w:val="007F3960"/>
    <w:rsid w:val="007F3F4E"/>
    <w:rsid w:val="007F3FB0"/>
    <w:rsid w:val="007F43A9"/>
    <w:rsid w:val="007F43E8"/>
    <w:rsid w:val="007F4FEA"/>
    <w:rsid w:val="007F54CD"/>
    <w:rsid w:val="007F5605"/>
    <w:rsid w:val="007F5608"/>
    <w:rsid w:val="007F5874"/>
    <w:rsid w:val="007F5D4A"/>
    <w:rsid w:val="007F6020"/>
    <w:rsid w:val="007F6562"/>
    <w:rsid w:val="007F65F2"/>
    <w:rsid w:val="007F6772"/>
    <w:rsid w:val="007F6AD2"/>
    <w:rsid w:val="007F70D6"/>
    <w:rsid w:val="007F7237"/>
    <w:rsid w:val="007F7723"/>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4ECF"/>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07F6F"/>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D2B"/>
    <w:rsid w:val="00814E13"/>
    <w:rsid w:val="008151F0"/>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58C"/>
    <w:rsid w:val="008216E2"/>
    <w:rsid w:val="0082172C"/>
    <w:rsid w:val="00821773"/>
    <w:rsid w:val="008219C7"/>
    <w:rsid w:val="00821A22"/>
    <w:rsid w:val="00821DC0"/>
    <w:rsid w:val="00822131"/>
    <w:rsid w:val="008232FF"/>
    <w:rsid w:val="00823335"/>
    <w:rsid w:val="008234CB"/>
    <w:rsid w:val="008235E4"/>
    <w:rsid w:val="008237B2"/>
    <w:rsid w:val="00823B2A"/>
    <w:rsid w:val="00823F61"/>
    <w:rsid w:val="008241F2"/>
    <w:rsid w:val="0082449E"/>
    <w:rsid w:val="008247A4"/>
    <w:rsid w:val="008249FF"/>
    <w:rsid w:val="008251EC"/>
    <w:rsid w:val="00825511"/>
    <w:rsid w:val="00825693"/>
    <w:rsid w:val="00825EEF"/>
    <w:rsid w:val="00826204"/>
    <w:rsid w:val="008263E0"/>
    <w:rsid w:val="00826D90"/>
    <w:rsid w:val="00826F26"/>
    <w:rsid w:val="00827015"/>
    <w:rsid w:val="00827109"/>
    <w:rsid w:val="008272E9"/>
    <w:rsid w:val="00827A41"/>
    <w:rsid w:val="00827AF3"/>
    <w:rsid w:val="008312D0"/>
    <w:rsid w:val="0083179C"/>
    <w:rsid w:val="00832142"/>
    <w:rsid w:val="00832C18"/>
    <w:rsid w:val="00832CAF"/>
    <w:rsid w:val="0083311A"/>
    <w:rsid w:val="008331BB"/>
    <w:rsid w:val="008333BB"/>
    <w:rsid w:val="0083417A"/>
    <w:rsid w:val="00834512"/>
    <w:rsid w:val="008349E7"/>
    <w:rsid w:val="0083502E"/>
    <w:rsid w:val="008350E9"/>
    <w:rsid w:val="00835A6E"/>
    <w:rsid w:val="00835B82"/>
    <w:rsid w:val="00836133"/>
    <w:rsid w:val="0083657B"/>
    <w:rsid w:val="00836916"/>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26D"/>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7AB"/>
    <w:rsid w:val="008617BC"/>
    <w:rsid w:val="00861B41"/>
    <w:rsid w:val="00861D65"/>
    <w:rsid w:val="00861DA1"/>
    <w:rsid w:val="00862017"/>
    <w:rsid w:val="008620C2"/>
    <w:rsid w:val="00862173"/>
    <w:rsid w:val="00862290"/>
    <w:rsid w:val="00862558"/>
    <w:rsid w:val="008626B0"/>
    <w:rsid w:val="00862988"/>
    <w:rsid w:val="00862A4E"/>
    <w:rsid w:val="00862BA2"/>
    <w:rsid w:val="00863096"/>
    <w:rsid w:val="0086329D"/>
    <w:rsid w:val="00863479"/>
    <w:rsid w:val="00863AA0"/>
    <w:rsid w:val="00864A9F"/>
    <w:rsid w:val="00864C02"/>
    <w:rsid w:val="008650AB"/>
    <w:rsid w:val="00865696"/>
    <w:rsid w:val="00865D02"/>
    <w:rsid w:val="00865D4C"/>
    <w:rsid w:val="00865DE1"/>
    <w:rsid w:val="008669FF"/>
    <w:rsid w:val="00866BFD"/>
    <w:rsid w:val="00866FEA"/>
    <w:rsid w:val="00867255"/>
    <w:rsid w:val="008678F0"/>
    <w:rsid w:val="00870018"/>
    <w:rsid w:val="00870161"/>
    <w:rsid w:val="00870637"/>
    <w:rsid w:val="00870793"/>
    <w:rsid w:val="008707D1"/>
    <w:rsid w:val="00870869"/>
    <w:rsid w:val="008708B4"/>
    <w:rsid w:val="00870A1C"/>
    <w:rsid w:val="00871029"/>
    <w:rsid w:val="00871096"/>
    <w:rsid w:val="00871171"/>
    <w:rsid w:val="008711F8"/>
    <w:rsid w:val="00871372"/>
    <w:rsid w:val="00871D14"/>
    <w:rsid w:val="008722B0"/>
    <w:rsid w:val="00872487"/>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ED6"/>
    <w:rsid w:val="00884255"/>
    <w:rsid w:val="0088425B"/>
    <w:rsid w:val="00884AD8"/>
    <w:rsid w:val="00884CDF"/>
    <w:rsid w:val="0088579F"/>
    <w:rsid w:val="00885D5D"/>
    <w:rsid w:val="00885EC9"/>
    <w:rsid w:val="00885F46"/>
    <w:rsid w:val="00885F7A"/>
    <w:rsid w:val="00886223"/>
    <w:rsid w:val="0088651F"/>
    <w:rsid w:val="0088697F"/>
    <w:rsid w:val="008876DF"/>
    <w:rsid w:val="00887771"/>
    <w:rsid w:val="00887FEF"/>
    <w:rsid w:val="008907B2"/>
    <w:rsid w:val="00890917"/>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9CE"/>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E2"/>
    <w:rsid w:val="008A42D8"/>
    <w:rsid w:val="008A457F"/>
    <w:rsid w:val="008A4DAC"/>
    <w:rsid w:val="008A4E04"/>
    <w:rsid w:val="008A53C3"/>
    <w:rsid w:val="008A59E9"/>
    <w:rsid w:val="008A5AB1"/>
    <w:rsid w:val="008A5FE7"/>
    <w:rsid w:val="008A62D3"/>
    <w:rsid w:val="008A631F"/>
    <w:rsid w:val="008A668F"/>
    <w:rsid w:val="008A6AD5"/>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B2"/>
    <w:rsid w:val="008B2052"/>
    <w:rsid w:val="008B21F5"/>
    <w:rsid w:val="008B2392"/>
    <w:rsid w:val="008B252A"/>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8C6"/>
    <w:rsid w:val="008B6E5C"/>
    <w:rsid w:val="008B6EEA"/>
    <w:rsid w:val="008B7E3F"/>
    <w:rsid w:val="008C0027"/>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A82"/>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7D4"/>
    <w:rsid w:val="008F0BA6"/>
    <w:rsid w:val="008F0FC8"/>
    <w:rsid w:val="008F1584"/>
    <w:rsid w:val="008F1CF8"/>
    <w:rsid w:val="008F211C"/>
    <w:rsid w:val="008F2151"/>
    <w:rsid w:val="008F2201"/>
    <w:rsid w:val="008F2A8C"/>
    <w:rsid w:val="008F2AE7"/>
    <w:rsid w:val="008F3069"/>
    <w:rsid w:val="008F35F6"/>
    <w:rsid w:val="008F368F"/>
    <w:rsid w:val="008F3D2D"/>
    <w:rsid w:val="008F3D7C"/>
    <w:rsid w:val="008F3DC9"/>
    <w:rsid w:val="008F4107"/>
    <w:rsid w:val="008F44CA"/>
    <w:rsid w:val="008F4B0F"/>
    <w:rsid w:val="008F4BFE"/>
    <w:rsid w:val="008F4E3F"/>
    <w:rsid w:val="008F5406"/>
    <w:rsid w:val="008F5461"/>
    <w:rsid w:val="008F5866"/>
    <w:rsid w:val="008F595E"/>
    <w:rsid w:val="008F5EAD"/>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DF"/>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805"/>
    <w:rsid w:val="00912A63"/>
    <w:rsid w:val="00912A96"/>
    <w:rsid w:val="00912F6D"/>
    <w:rsid w:val="00913AF7"/>
    <w:rsid w:val="00913B67"/>
    <w:rsid w:val="00913EAE"/>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5E14"/>
    <w:rsid w:val="0091610F"/>
    <w:rsid w:val="009161BA"/>
    <w:rsid w:val="00917E0B"/>
    <w:rsid w:val="0092078E"/>
    <w:rsid w:val="00920848"/>
    <w:rsid w:val="00920B0E"/>
    <w:rsid w:val="00921530"/>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579"/>
    <w:rsid w:val="00925836"/>
    <w:rsid w:val="009259E2"/>
    <w:rsid w:val="00925B5F"/>
    <w:rsid w:val="00925B66"/>
    <w:rsid w:val="00925DD1"/>
    <w:rsid w:val="009260EC"/>
    <w:rsid w:val="00926264"/>
    <w:rsid w:val="00926595"/>
    <w:rsid w:val="0092686F"/>
    <w:rsid w:val="0092698B"/>
    <w:rsid w:val="009269EB"/>
    <w:rsid w:val="00926AF1"/>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747"/>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85"/>
    <w:rsid w:val="00940DF4"/>
    <w:rsid w:val="00940FB5"/>
    <w:rsid w:val="00941259"/>
    <w:rsid w:val="0094148B"/>
    <w:rsid w:val="00941A1C"/>
    <w:rsid w:val="00941AA8"/>
    <w:rsid w:val="00941B97"/>
    <w:rsid w:val="00941E13"/>
    <w:rsid w:val="009421B3"/>
    <w:rsid w:val="0094267F"/>
    <w:rsid w:val="0094290B"/>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00A"/>
    <w:rsid w:val="00953424"/>
    <w:rsid w:val="009535B7"/>
    <w:rsid w:val="009537A7"/>
    <w:rsid w:val="00953B1F"/>
    <w:rsid w:val="00953C21"/>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1E9"/>
    <w:rsid w:val="00956957"/>
    <w:rsid w:val="009573C6"/>
    <w:rsid w:val="009573C8"/>
    <w:rsid w:val="00957487"/>
    <w:rsid w:val="00957B6B"/>
    <w:rsid w:val="00957D9C"/>
    <w:rsid w:val="00957E2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757"/>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C4D"/>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8CE"/>
    <w:rsid w:val="00983B9C"/>
    <w:rsid w:val="00983BD1"/>
    <w:rsid w:val="00983C41"/>
    <w:rsid w:val="00984206"/>
    <w:rsid w:val="00984235"/>
    <w:rsid w:val="00984C8E"/>
    <w:rsid w:val="00984E26"/>
    <w:rsid w:val="0098511E"/>
    <w:rsid w:val="00985133"/>
    <w:rsid w:val="0098541D"/>
    <w:rsid w:val="0098582F"/>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1F68"/>
    <w:rsid w:val="0099256F"/>
    <w:rsid w:val="00992624"/>
    <w:rsid w:val="009927C4"/>
    <w:rsid w:val="00992A4E"/>
    <w:rsid w:val="00993075"/>
    <w:rsid w:val="009930C0"/>
    <w:rsid w:val="0099324C"/>
    <w:rsid w:val="00993627"/>
    <w:rsid w:val="0099367D"/>
    <w:rsid w:val="009936F0"/>
    <w:rsid w:val="009938ED"/>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812"/>
    <w:rsid w:val="009A5EF9"/>
    <w:rsid w:val="009A6127"/>
    <w:rsid w:val="009A62DC"/>
    <w:rsid w:val="009A637B"/>
    <w:rsid w:val="009A6456"/>
    <w:rsid w:val="009A6C74"/>
    <w:rsid w:val="009A6EE7"/>
    <w:rsid w:val="009A7154"/>
    <w:rsid w:val="009A78D1"/>
    <w:rsid w:val="009A7DFB"/>
    <w:rsid w:val="009A7E08"/>
    <w:rsid w:val="009A7EDA"/>
    <w:rsid w:val="009B003C"/>
    <w:rsid w:val="009B03D3"/>
    <w:rsid w:val="009B1823"/>
    <w:rsid w:val="009B1E6C"/>
    <w:rsid w:val="009B2E47"/>
    <w:rsid w:val="009B3685"/>
    <w:rsid w:val="009B3745"/>
    <w:rsid w:val="009B3C79"/>
    <w:rsid w:val="009B3D47"/>
    <w:rsid w:val="009B4250"/>
    <w:rsid w:val="009B4821"/>
    <w:rsid w:val="009B4C1C"/>
    <w:rsid w:val="009B4C24"/>
    <w:rsid w:val="009B5821"/>
    <w:rsid w:val="009B59FD"/>
    <w:rsid w:val="009B63EA"/>
    <w:rsid w:val="009B70E9"/>
    <w:rsid w:val="009B7564"/>
    <w:rsid w:val="009B7BB7"/>
    <w:rsid w:val="009B7D5C"/>
    <w:rsid w:val="009B7FFA"/>
    <w:rsid w:val="009C00EF"/>
    <w:rsid w:val="009C0BC1"/>
    <w:rsid w:val="009C0DBE"/>
    <w:rsid w:val="009C1035"/>
    <w:rsid w:val="009C1240"/>
    <w:rsid w:val="009C19BC"/>
    <w:rsid w:val="009C19D2"/>
    <w:rsid w:val="009C1BF9"/>
    <w:rsid w:val="009C1D4B"/>
    <w:rsid w:val="009C1E0C"/>
    <w:rsid w:val="009C206F"/>
    <w:rsid w:val="009C281C"/>
    <w:rsid w:val="009C2957"/>
    <w:rsid w:val="009C2AB0"/>
    <w:rsid w:val="009C2B1C"/>
    <w:rsid w:val="009C2EC6"/>
    <w:rsid w:val="009C3D88"/>
    <w:rsid w:val="009C42A3"/>
    <w:rsid w:val="009C4B76"/>
    <w:rsid w:val="009C509F"/>
    <w:rsid w:val="009C520B"/>
    <w:rsid w:val="009C5785"/>
    <w:rsid w:val="009C5874"/>
    <w:rsid w:val="009C6768"/>
    <w:rsid w:val="009C6894"/>
    <w:rsid w:val="009C6AB1"/>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3E93"/>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4F1"/>
    <w:rsid w:val="009F16B5"/>
    <w:rsid w:val="009F187B"/>
    <w:rsid w:val="009F1933"/>
    <w:rsid w:val="009F26C0"/>
    <w:rsid w:val="009F2A94"/>
    <w:rsid w:val="009F2AAF"/>
    <w:rsid w:val="009F2E7E"/>
    <w:rsid w:val="009F3A4B"/>
    <w:rsid w:val="009F4196"/>
    <w:rsid w:val="009F41E1"/>
    <w:rsid w:val="009F4375"/>
    <w:rsid w:val="009F483A"/>
    <w:rsid w:val="009F4F05"/>
    <w:rsid w:val="009F4FA3"/>
    <w:rsid w:val="009F5606"/>
    <w:rsid w:val="009F5902"/>
    <w:rsid w:val="009F5CA4"/>
    <w:rsid w:val="009F6410"/>
    <w:rsid w:val="009F6457"/>
    <w:rsid w:val="009F7169"/>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4EEC"/>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951"/>
    <w:rsid w:val="00A10B48"/>
    <w:rsid w:val="00A114B5"/>
    <w:rsid w:val="00A115BF"/>
    <w:rsid w:val="00A116E5"/>
    <w:rsid w:val="00A1197E"/>
    <w:rsid w:val="00A11A89"/>
    <w:rsid w:val="00A11ACA"/>
    <w:rsid w:val="00A11E0F"/>
    <w:rsid w:val="00A12206"/>
    <w:rsid w:val="00A12301"/>
    <w:rsid w:val="00A12929"/>
    <w:rsid w:val="00A12A73"/>
    <w:rsid w:val="00A12BEE"/>
    <w:rsid w:val="00A12DC4"/>
    <w:rsid w:val="00A12EE8"/>
    <w:rsid w:val="00A131A4"/>
    <w:rsid w:val="00A13299"/>
    <w:rsid w:val="00A13715"/>
    <w:rsid w:val="00A139E2"/>
    <w:rsid w:val="00A13A66"/>
    <w:rsid w:val="00A13B10"/>
    <w:rsid w:val="00A13CF1"/>
    <w:rsid w:val="00A145D0"/>
    <w:rsid w:val="00A157EC"/>
    <w:rsid w:val="00A158D3"/>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79E"/>
    <w:rsid w:val="00A2104B"/>
    <w:rsid w:val="00A210E9"/>
    <w:rsid w:val="00A218AE"/>
    <w:rsid w:val="00A21A9D"/>
    <w:rsid w:val="00A21AAA"/>
    <w:rsid w:val="00A21E51"/>
    <w:rsid w:val="00A2208A"/>
    <w:rsid w:val="00A22132"/>
    <w:rsid w:val="00A22207"/>
    <w:rsid w:val="00A22389"/>
    <w:rsid w:val="00A2260A"/>
    <w:rsid w:val="00A22664"/>
    <w:rsid w:val="00A23243"/>
    <w:rsid w:val="00A23590"/>
    <w:rsid w:val="00A2384B"/>
    <w:rsid w:val="00A23919"/>
    <w:rsid w:val="00A23921"/>
    <w:rsid w:val="00A23E0D"/>
    <w:rsid w:val="00A24002"/>
    <w:rsid w:val="00A244F6"/>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AD2"/>
    <w:rsid w:val="00A31E88"/>
    <w:rsid w:val="00A321EE"/>
    <w:rsid w:val="00A3226E"/>
    <w:rsid w:val="00A32284"/>
    <w:rsid w:val="00A325C2"/>
    <w:rsid w:val="00A325CC"/>
    <w:rsid w:val="00A327E2"/>
    <w:rsid w:val="00A329BB"/>
    <w:rsid w:val="00A32A44"/>
    <w:rsid w:val="00A32BAD"/>
    <w:rsid w:val="00A32C37"/>
    <w:rsid w:val="00A3331F"/>
    <w:rsid w:val="00A3393A"/>
    <w:rsid w:val="00A34685"/>
    <w:rsid w:val="00A34AFB"/>
    <w:rsid w:val="00A34BE5"/>
    <w:rsid w:val="00A34DA0"/>
    <w:rsid w:val="00A34F3C"/>
    <w:rsid w:val="00A35A0B"/>
    <w:rsid w:val="00A35BD0"/>
    <w:rsid w:val="00A362CB"/>
    <w:rsid w:val="00A3651A"/>
    <w:rsid w:val="00A37413"/>
    <w:rsid w:val="00A3747D"/>
    <w:rsid w:val="00A37A59"/>
    <w:rsid w:val="00A37E05"/>
    <w:rsid w:val="00A40531"/>
    <w:rsid w:val="00A40660"/>
    <w:rsid w:val="00A40A83"/>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CA0"/>
    <w:rsid w:val="00A46F5A"/>
    <w:rsid w:val="00A46FAD"/>
    <w:rsid w:val="00A47B4B"/>
    <w:rsid w:val="00A5044D"/>
    <w:rsid w:val="00A509DE"/>
    <w:rsid w:val="00A50B00"/>
    <w:rsid w:val="00A50CE6"/>
    <w:rsid w:val="00A50D49"/>
    <w:rsid w:val="00A511FB"/>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3F6F"/>
    <w:rsid w:val="00A8407C"/>
    <w:rsid w:val="00A84298"/>
    <w:rsid w:val="00A844CE"/>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2"/>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34F"/>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23C"/>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4D67"/>
    <w:rsid w:val="00AB513E"/>
    <w:rsid w:val="00AB51DA"/>
    <w:rsid w:val="00AB53BA"/>
    <w:rsid w:val="00AB5595"/>
    <w:rsid w:val="00AB57AD"/>
    <w:rsid w:val="00AB583A"/>
    <w:rsid w:val="00AB607B"/>
    <w:rsid w:val="00AB642C"/>
    <w:rsid w:val="00AB644A"/>
    <w:rsid w:val="00AB6458"/>
    <w:rsid w:val="00AB6CA0"/>
    <w:rsid w:val="00AB76D5"/>
    <w:rsid w:val="00AB7787"/>
    <w:rsid w:val="00AB78AC"/>
    <w:rsid w:val="00AB7913"/>
    <w:rsid w:val="00AC0169"/>
    <w:rsid w:val="00AC0AEA"/>
    <w:rsid w:val="00AC0CC3"/>
    <w:rsid w:val="00AC1281"/>
    <w:rsid w:val="00AC1554"/>
    <w:rsid w:val="00AC21BA"/>
    <w:rsid w:val="00AC22C7"/>
    <w:rsid w:val="00AC281A"/>
    <w:rsid w:val="00AC2D4E"/>
    <w:rsid w:val="00AC3084"/>
    <w:rsid w:val="00AC3431"/>
    <w:rsid w:val="00AC34D7"/>
    <w:rsid w:val="00AC38E9"/>
    <w:rsid w:val="00AC404F"/>
    <w:rsid w:val="00AC45D6"/>
    <w:rsid w:val="00AC4D1B"/>
    <w:rsid w:val="00AC4D53"/>
    <w:rsid w:val="00AC4D9E"/>
    <w:rsid w:val="00AC4E2E"/>
    <w:rsid w:val="00AC5C2A"/>
    <w:rsid w:val="00AC61B3"/>
    <w:rsid w:val="00AC63F4"/>
    <w:rsid w:val="00AC6786"/>
    <w:rsid w:val="00AC6D9F"/>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32B"/>
    <w:rsid w:val="00AD75A6"/>
    <w:rsid w:val="00AD7927"/>
    <w:rsid w:val="00AD7E17"/>
    <w:rsid w:val="00AE0160"/>
    <w:rsid w:val="00AE0D23"/>
    <w:rsid w:val="00AE0E9E"/>
    <w:rsid w:val="00AE1369"/>
    <w:rsid w:val="00AE14B7"/>
    <w:rsid w:val="00AE169D"/>
    <w:rsid w:val="00AE19D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94C"/>
    <w:rsid w:val="00AF0FFE"/>
    <w:rsid w:val="00AF1414"/>
    <w:rsid w:val="00AF14DF"/>
    <w:rsid w:val="00AF15C3"/>
    <w:rsid w:val="00AF19CD"/>
    <w:rsid w:val="00AF1DE5"/>
    <w:rsid w:val="00AF25F3"/>
    <w:rsid w:val="00AF28B0"/>
    <w:rsid w:val="00AF2DED"/>
    <w:rsid w:val="00AF3560"/>
    <w:rsid w:val="00AF3C80"/>
    <w:rsid w:val="00AF3C8C"/>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6BD0"/>
    <w:rsid w:val="00AF7363"/>
    <w:rsid w:val="00AF738A"/>
    <w:rsid w:val="00AF7E8D"/>
    <w:rsid w:val="00AF7F09"/>
    <w:rsid w:val="00AF7F0E"/>
    <w:rsid w:val="00B0015C"/>
    <w:rsid w:val="00B002BA"/>
    <w:rsid w:val="00B00306"/>
    <w:rsid w:val="00B00521"/>
    <w:rsid w:val="00B0086C"/>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4F21"/>
    <w:rsid w:val="00B0540A"/>
    <w:rsid w:val="00B0550D"/>
    <w:rsid w:val="00B05688"/>
    <w:rsid w:val="00B0588E"/>
    <w:rsid w:val="00B06771"/>
    <w:rsid w:val="00B067D5"/>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2B64"/>
    <w:rsid w:val="00B13003"/>
    <w:rsid w:val="00B13123"/>
    <w:rsid w:val="00B137BE"/>
    <w:rsid w:val="00B13829"/>
    <w:rsid w:val="00B13F1F"/>
    <w:rsid w:val="00B14251"/>
    <w:rsid w:val="00B147CC"/>
    <w:rsid w:val="00B14994"/>
    <w:rsid w:val="00B150FE"/>
    <w:rsid w:val="00B15141"/>
    <w:rsid w:val="00B151C6"/>
    <w:rsid w:val="00B15916"/>
    <w:rsid w:val="00B16815"/>
    <w:rsid w:val="00B16B5F"/>
    <w:rsid w:val="00B16D08"/>
    <w:rsid w:val="00B16D57"/>
    <w:rsid w:val="00B1736C"/>
    <w:rsid w:val="00B17744"/>
    <w:rsid w:val="00B17D3E"/>
    <w:rsid w:val="00B17E90"/>
    <w:rsid w:val="00B20057"/>
    <w:rsid w:val="00B2043A"/>
    <w:rsid w:val="00B2063B"/>
    <w:rsid w:val="00B20CD7"/>
    <w:rsid w:val="00B20E2B"/>
    <w:rsid w:val="00B20F3D"/>
    <w:rsid w:val="00B21016"/>
    <w:rsid w:val="00B215F9"/>
    <w:rsid w:val="00B2161B"/>
    <w:rsid w:val="00B217CD"/>
    <w:rsid w:val="00B21B67"/>
    <w:rsid w:val="00B21CA7"/>
    <w:rsid w:val="00B22472"/>
    <w:rsid w:val="00B232CB"/>
    <w:rsid w:val="00B233A9"/>
    <w:rsid w:val="00B239CC"/>
    <w:rsid w:val="00B23C57"/>
    <w:rsid w:val="00B23E2E"/>
    <w:rsid w:val="00B24F49"/>
    <w:rsid w:val="00B25585"/>
    <w:rsid w:val="00B25632"/>
    <w:rsid w:val="00B2571D"/>
    <w:rsid w:val="00B2588A"/>
    <w:rsid w:val="00B25A0E"/>
    <w:rsid w:val="00B25A70"/>
    <w:rsid w:val="00B25AB2"/>
    <w:rsid w:val="00B25BD8"/>
    <w:rsid w:val="00B25E1D"/>
    <w:rsid w:val="00B25F5B"/>
    <w:rsid w:val="00B25F9A"/>
    <w:rsid w:val="00B2613A"/>
    <w:rsid w:val="00B263BE"/>
    <w:rsid w:val="00B26611"/>
    <w:rsid w:val="00B2683D"/>
    <w:rsid w:val="00B269CE"/>
    <w:rsid w:val="00B271E3"/>
    <w:rsid w:val="00B2757B"/>
    <w:rsid w:val="00B27D54"/>
    <w:rsid w:val="00B3057A"/>
    <w:rsid w:val="00B317EB"/>
    <w:rsid w:val="00B318CB"/>
    <w:rsid w:val="00B31C72"/>
    <w:rsid w:val="00B31D0D"/>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44A"/>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89"/>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A40"/>
    <w:rsid w:val="00B5238F"/>
    <w:rsid w:val="00B529F2"/>
    <w:rsid w:val="00B52EC8"/>
    <w:rsid w:val="00B533BC"/>
    <w:rsid w:val="00B5370C"/>
    <w:rsid w:val="00B538FF"/>
    <w:rsid w:val="00B53EF5"/>
    <w:rsid w:val="00B542BA"/>
    <w:rsid w:val="00B545DD"/>
    <w:rsid w:val="00B54989"/>
    <w:rsid w:val="00B54CC5"/>
    <w:rsid w:val="00B553CF"/>
    <w:rsid w:val="00B555B8"/>
    <w:rsid w:val="00B55ACA"/>
    <w:rsid w:val="00B561BD"/>
    <w:rsid w:val="00B566E0"/>
    <w:rsid w:val="00B5685D"/>
    <w:rsid w:val="00B56E91"/>
    <w:rsid w:val="00B56F22"/>
    <w:rsid w:val="00B574BA"/>
    <w:rsid w:val="00B57861"/>
    <w:rsid w:val="00B57A9C"/>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2E9"/>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19"/>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E85"/>
    <w:rsid w:val="00B85F67"/>
    <w:rsid w:val="00B86557"/>
    <w:rsid w:val="00B86D87"/>
    <w:rsid w:val="00B87AF3"/>
    <w:rsid w:val="00B87C60"/>
    <w:rsid w:val="00B90165"/>
    <w:rsid w:val="00B912EA"/>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85"/>
    <w:rsid w:val="00B96DA2"/>
    <w:rsid w:val="00B977E6"/>
    <w:rsid w:val="00BA067F"/>
    <w:rsid w:val="00BA0B82"/>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A56"/>
    <w:rsid w:val="00BA4C70"/>
    <w:rsid w:val="00BA4CF4"/>
    <w:rsid w:val="00BA54FB"/>
    <w:rsid w:val="00BA5C97"/>
    <w:rsid w:val="00BA5EFB"/>
    <w:rsid w:val="00BA6230"/>
    <w:rsid w:val="00BA659A"/>
    <w:rsid w:val="00BA68C1"/>
    <w:rsid w:val="00BA6D50"/>
    <w:rsid w:val="00BA712E"/>
    <w:rsid w:val="00BA7423"/>
    <w:rsid w:val="00BA7688"/>
    <w:rsid w:val="00BA7EB0"/>
    <w:rsid w:val="00BB007A"/>
    <w:rsid w:val="00BB008F"/>
    <w:rsid w:val="00BB0528"/>
    <w:rsid w:val="00BB070E"/>
    <w:rsid w:val="00BB0D75"/>
    <w:rsid w:val="00BB1286"/>
    <w:rsid w:val="00BB1C4F"/>
    <w:rsid w:val="00BB20E7"/>
    <w:rsid w:val="00BB225D"/>
    <w:rsid w:val="00BB277B"/>
    <w:rsid w:val="00BB2835"/>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86D"/>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6A3"/>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A7"/>
    <w:rsid w:val="00BF04B1"/>
    <w:rsid w:val="00BF0963"/>
    <w:rsid w:val="00BF0A66"/>
    <w:rsid w:val="00BF0CB3"/>
    <w:rsid w:val="00BF10D2"/>
    <w:rsid w:val="00BF10D6"/>
    <w:rsid w:val="00BF120B"/>
    <w:rsid w:val="00BF1309"/>
    <w:rsid w:val="00BF153C"/>
    <w:rsid w:val="00BF18B9"/>
    <w:rsid w:val="00BF1B70"/>
    <w:rsid w:val="00BF1FA2"/>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C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73E"/>
    <w:rsid w:val="00C14EF8"/>
    <w:rsid w:val="00C15135"/>
    <w:rsid w:val="00C15902"/>
    <w:rsid w:val="00C159ED"/>
    <w:rsid w:val="00C15D8C"/>
    <w:rsid w:val="00C16386"/>
    <w:rsid w:val="00C165C6"/>
    <w:rsid w:val="00C1662C"/>
    <w:rsid w:val="00C16813"/>
    <w:rsid w:val="00C16B16"/>
    <w:rsid w:val="00C16B6A"/>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1791"/>
    <w:rsid w:val="00C21AB7"/>
    <w:rsid w:val="00C222B2"/>
    <w:rsid w:val="00C226CE"/>
    <w:rsid w:val="00C22703"/>
    <w:rsid w:val="00C227E3"/>
    <w:rsid w:val="00C2290A"/>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A94"/>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60A"/>
    <w:rsid w:val="00C32BB7"/>
    <w:rsid w:val="00C32CCE"/>
    <w:rsid w:val="00C33130"/>
    <w:rsid w:val="00C33560"/>
    <w:rsid w:val="00C337EC"/>
    <w:rsid w:val="00C339DE"/>
    <w:rsid w:val="00C33AA7"/>
    <w:rsid w:val="00C33DCE"/>
    <w:rsid w:val="00C3463A"/>
    <w:rsid w:val="00C346BB"/>
    <w:rsid w:val="00C346C1"/>
    <w:rsid w:val="00C34758"/>
    <w:rsid w:val="00C34BDB"/>
    <w:rsid w:val="00C34C05"/>
    <w:rsid w:val="00C34D4B"/>
    <w:rsid w:val="00C34D69"/>
    <w:rsid w:val="00C34F16"/>
    <w:rsid w:val="00C351D2"/>
    <w:rsid w:val="00C3566B"/>
    <w:rsid w:val="00C35B23"/>
    <w:rsid w:val="00C36050"/>
    <w:rsid w:val="00C361B0"/>
    <w:rsid w:val="00C367B9"/>
    <w:rsid w:val="00C36DAD"/>
    <w:rsid w:val="00C37050"/>
    <w:rsid w:val="00C37CA6"/>
    <w:rsid w:val="00C37F8D"/>
    <w:rsid w:val="00C4018E"/>
    <w:rsid w:val="00C404D5"/>
    <w:rsid w:val="00C40841"/>
    <w:rsid w:val="00C40B7D"/>
    <w:rsid w:val="00C40CD4"/>
    <w:rsid w:val="00C41057"/>
    <w:rsid w:val="00C411E2"/>
    <w:rsid w:val="00C416D1"/>
    <w:rsid w:val="00C41D2B"/>
    <w:rsid w:val="00C41E8D"/>
    <w:rsid w:val="00C42130"/>
    <w:rsid w:val="00C42784"/>
    <w:rsid w:val="00C429E1"/>
    <w:rsid w:val="00C42E80"/>
    <w:rsid w:val="00C4301B"/>
    <w:rsid w:val="00C439F0"/>
    <w:rsid w:val="00C43CE7"/>
    <w:rsid w:val="00C44189"/>
    <w:rsid w:val="00C447FB"/>
    <w:rsid w:val="00C44F96"/>
    <w:rsid w:val="00C44FF2"/>
    <w:rsid w:val="00C452C2"/>
    <w:rsid w:val="00C4587D"/>
    <w:rsid w:val="00C45C66"/>
    <w:rsid w:val="00C464A1"/>
    <w:rsid w:val="00C46C33"/>
    <w:rsid w:val="00C470AA"/>
    <w:rsid w:val="00C476E4"/>
    <w:rsid w:val="00C47AE8"/>
    <w:rsid w:val="00C47B93"/>
    <w:rsid w:val="00C47BDE"/>
    <w:rsid w:val="00C47EC4"/>
    <w:rsid w:val="00C508B7"/>
    <w:rsid w:val="00C509D3"/>
    <w:rsid w:val="00C510B8"/>
    <w:rsid w:val="00C5144D"/>
    <w:rsid w:val="00C51696"/>
    <w:rsid w:val="00C5193F"/>
    <w:rsid w:val="00C51D11"/>
    <w:rsid w:val="00C51D30"/>
    <w:rsid w:val="00C51F21"/>
    <w:rsid w:val="00C521CD"/>
    <w:rsid w:val="00C5257E"/>
    <w:rsid w:val="00C52670"/>
    <w:rsid w:val="00C52DD4"/>
    <w:rsid w:val="00C531B4"/>
    <w:rsid w:val="00C531B7"/>
    <w:rsid w:val="00C532F9"/>
    <w:rsid w:val="00C5334F"/>
    <w:rsid w:val="00C53E22"/>
    <w:rsid w:val="00C5432F"/>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169"/>
    <w:rsid w:val="00C633AB"/>
    <w:rsid w:val="00C6343A"/>
    <w:rsid w:val="00C636B0"/>
    <w:rsid w:val="00C64849"/>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F34"/>
    <w:rsid w:val="00C70366"/>
    <w:rsid w:val="00C70400"/>
    <w:rsid w:val="00C7040D"/>
    <w:rsid w:val="00C70B8C"/>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D37"/>
    <w:rsid w:val="00C80441"/>
    <w:rsid w:val="00C80547"/>
    <w:rsid w:val="00C80CD8"/>
    <w:rsid w:val="00C80DB5"/>
    <w:rsid w:val="00C8198E"/>
    <w:rsid w:val="00C81B30"/>
    <w:rsid w:val="00C8220B"/>
    <w:rsid w:val="00C82387"/>
    <w:rsid w:val="00C823D0"/>
    <w:rsid w:val="00C831FC"/>
    <w:rsid w:val="00C8395C"/>
    <w:rsid w:val="00C83D50"/>
    <w:rsid w:val="00C840D4"/>
    <w:rsid w:val="00C84231"/>
    <w:rsid w:val="00C847C8"/>
    <w:rsid w:val="00C84D5A"/>
    <w:rsid w:val="00C85034"/>
    <w:rsid w:val="00C8534D"/>
    <w:rsid w:val="00C85F12"/>
    <w:rsid w:val="00C86379"/>
    <w:rsid w:val="00C86481"/>
    <w:rsid w:val="00C864DB"/>
    <w:rsid w:val="00C8669B"/>
    <w:rsid w:val="00C86A4C"/>
    <w:rsid w:val="00C870BA"/>
    <w:rsid w:val="00C8781D"/>
    <w:rsid w:val="00C878E9"/>
    <w:rsid w:val="00C87AF9"/>
    <w:rsid w:val="00C901A9"/>
    <w:rsid w:val="00C9047A"/>
    <w:rsid w:val="00C905AC"/>
    <w:rsid w:val="00C9065E"/>
    <w:rsid w:val="00C90912"/>
    <w:rsid w:val="00C909C8"/>
    <w:rsid w:val="00C90B43"/>
    <w:rsid w:val="00C90C65"/>
    <w:rsid w:val="00C90C82"/>
    <w:rsid w:val="00C90F7A"/>
    <w:rsid w:val="00C911EF"/>
    <w:rsid w:val="00C91450"/>
    <w:rsid w:val="00C91CFB"/>
    <w:rsid w:val="00C91FAC"/>
    <w:rsid w:val="00C9220C"/>
    <w:rsid w:val="00C922C5"/>
    <w:rsid w:val="00C92352"/>
    <w:rsid w:val="00C923B7"/>
    <w:rsid w:val="00C927AB"/>
    <w:rsid w:val="00C92C2A"/>
    <w:rsid w:val="00C9318C"/>
    <w:rsid w:val="00C93297"/>
    <w:rsid w:val="00C93543"/>
    <w:rsid w:val="00C94051"/>
    <w:rsid w:val="00C945EC"/>
    <w:rsid w:val="00C94650"/>
    <w:rsid w:val="00C94B58"/>
    <w:rsid w:val="00C94BBA"/>
    <w:rsid w:val="00C94E45"/>
    <w:rsid w:val="00C95300"/>
    <w:rsid w:val="00C95548"/>
    <w:rsid w:val="00C955F6"/>
    <w:rsid w:val="00C95656"/>
    <w:rsid w:val="00C95730"/>
    <w:rsid w:val="00C95962"/>
    <w:rsid w:val="00C959AA"/>
    <w:rsid w:val="00C95EC0"/>
    <w:rsid w:val="00C9603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827"/>
    <w:rsid w:val="00CA3DB2"/>
    <w:rsid w:val="00CA40DD"/>
    <w:rsid w:val="00CA41A3"/>
    <w:rsid w:val="00CA4586"/>
    <w:rsid w:val="00CA49C0"/>
    <w:rsid w:val="00CA4A24"/>
    <w:rsid w:val="00CA4A3F"/>
    <w:rsid w:val="00CA4C14"/>
    <w:rsid w:val="00CA4D19"/>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655"/>
    <w:rsid w:val="00CB27D1"/>
    <w:rsid w:val="00CB299C"/>
    <w:rsid w:val="00CB2BBA"/>
    <w:rsid w:val="00CB2E2D"/>
    <w:rsid w:val="00CB35ED"/>
    <w:rsid w:val="00CB39EB"/>
    <w:rsid w:val="00CB41E7"/>
    <w:rsid w:val="00CB42F8"/>
    <w:rsid w:val="00CB480A"/>
    <w:rsid w:val="00CB4FA5"/>
    <w:rsid w:val="00CB5008"/>
    <w:rsid w:val="00CB58DD"/>
    <w:rsid w:val="00CB59CB"/>
    <w:rsid w:val="00CB5CF1"/>
    <w:rsid w:val="00CB6343"/>
    <w:rsid w:val="00CB6517"/>
    <w:rsid w:val="00CB7648"/>
    <w:rsid w:val="00CB797B"/>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401"/>
    <w:rsid w:val="00CC4C5E"/>
    <w:rsid w:val="00CC4C9E"/>
    <w:rsid w:val="00CC4CD7"/>
    <w:rsid w:val="00CC4F58"/>
    <w:rsid w:val="00CC57AE"/>
    <w:rsid w:val="00CC606C"/>
    <w:rsid w:val="00CC620F"/>
    <w:rsid w:val="00CC6315"/>
    <w:rsid w:val="00CC728B"/>
    <w:rsid w:val="00CC7356"/>
    <w:rsid w:val="00CC74D5"/>
    <w:rsid w:val="00CC74E5"/>
    <w:rsid w:val="00CC7A6D"/>
    <w:rsid w:val="00CC7DF5"/>
    <w:rsid w:val="00CD04B6"/>
    <w:rsid w:val="00CD0740"/>
    <w:rsid w:val="00CD0768"/>
    <w:rsid w:val="00CD0822"/>
    <w:rsid w:val="00CD0B87"/>
    <w:rsid w:val="00CD0E01"/>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291"/>
    <w:rsid w:val="00CD492B"/>
    <w:rsid w:val="00CD5ADA"/>
    <w:rsid w:val="00CD5C02"/>
    <w:rsid w:val="00CD5F80"/>
    <w:rsid w:val="00CD61E3"/>
    <w:rsid w:val="00CD6823"/>
    <w:rsid w:val="00CD6D63"/>
    <w:rsid w:val="00CD6E0B"/>
    <w:rsid w:val="00CD787F"/>
    <w:rsid w:val="00CD7A86"/>
    <w:rsid w:val="00CE025E"/>
    <w:rsid w:val="00CE030D"/>
    <w:rsid w:val="00CE03B6"/>
    <w:rsid w:val="00CE05B4"/>
    <w:rsid w:val="00CE05F2"/>
    <w:rsid w:val="00CE0CBF"/>
    <w:rsid w:val="00CE0F12"/>
    <w:rsid w:val="00CE112E"/>
    <w:rsid w:val="00CE1225"/>
    <w:rsid w:val="00CE132D"/>
    <w:rsid w:val="00CE143E"/>
    <w:rsid w:val="00CE19F2"/>
    <w:rsid w:val="00CE253D"/>
    <w:rsid w:val="00CE2801"/>
    <w:rsid w:val="00CE3257"/>
    <w:rsid w:val="00CE38AA"/>
    <w:rsid w:val="00CE3CDC"/>
    <w:rsid w:val="00CE3D16"/>
    <w:rsid w:val="00CE3D41"/>
    <w:rsid w:val="00CE3FBA"/>
    <w:rsid w:val="00CE44B7"/>
    <w:rsid w:val="00CE5386"/>
    <w:rsid w:val="00CE53A7"/>
    <w:rsid w:val="00CE5CB1"/>
    <w:rsid w:val="00CE5E50"/>
    <w:rsid w:val="00CE630B"/>
    <w:rsid w:val="00CE6569"/>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755"/>
    <w:rsid w:val="00CF495B"/>
    <w:rsid w:val="00CF4B3B"/>
    <w:rsid w:val="00CF4F02"/>
    <w:rsid w:val="00CF4F88"/>
    <w:rsid w:val="00CF5EE9"/>
    <w:rsid w:val="00CF61A3"/>
    <w:rsid w:val="00CF66DE"/>
    <w:rsid w:val="00CF676B"/>
    <w:rsid w:val="00CF6848"/>
    <w:rsid w:val="00CF6AF3"/>
    <w:rsid w:val="00CF6C9A"/>
    <w:rsid w:val="00CF74F6"/>
    <w:rsid w:val="00CF76AE"/>
    <w:rsid w:val="00CF7CCF"/>
    <w:rsid w:val="00CF7D8D"/>
    <w:rsid w:val="00D00096"/>
    <w:rsid w:val="00D0033A"/>
    <w:rsid w:val="00D00522"/>
    <w:rsid w:val="00D00B22"/>
    <w:rsid w:val="00D00FCA"/>
    <w:rsid w:val="00D017EE"/>
    <w:rsid w:val="00D01C73"/>
    <w:rsid w:val="00D021B4"/>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A62"/>
    <w:rsid w:val="00D07BEB"/>
    <w:rsid w:val="00D07D73"/>
    <w:rsid w:val="00D07DCA"/>
    <w:rsid w:val="00D07E5F"/>
    <w:rsid w:val="00D1023A"/>
    <w:rsid w:val="00D1127F"/>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957"/>
    <w:rsid w:val="00D13BBC"/>
    <w:rsid w:val="00D13F9F"/>
    <w:rsid w:val="00D14204"/>
    <w:rsid w:val="00D14728"/>
    <w:rsid w:val="00D1478F"/>
    <w:rsid w:val="00D14D0C"/>
    <w:rsid w:val="00D14DE5"/>
    <w:rsid w:val="00D1552A"/>
    <w:rsid w:val="00D15D9D"/>
    <w:rsid w:val="00D1624D"/>
    <w:rsid w:val="00D16996"/>
    <w:rsid w:val="00D17725"/>
    <w:rsid w:val="00D17869"/>
    <w:rsid w:val="00D1792B"/>
    <w:rsid w:val="00D17F37"/>
    <w:rsid w:val="00D202D3"/>
    <w:rsid w:val="00D2171B"/>
    <w:rsid w:val="00D217CE"/>
    <w:rsid w:val="00D21A77"/>
    <w:rsid w:val="00D21E67"/>
    <w:rsid w:val="00D22148"/>
    <w:rsid w:val="00D22166"/>
    <w:rsid w:val="00D229A3"/>
    <w:rsid w:val="00D22D40"/>
    <w:rsid w:val="00D2348D"/>
    <w:rsid w:val="00D23556"/>
    <w:rsid w:val="00D239F9"/>
    <w:rsid w:val="00D23A1F"/>
    <w:rsid w:val="00D23B89"/>
    <w:rsid w:val="00D23CE2"/>
    <w:rsid w:val="00D2406F"/>
    <w:rsid w:val="00D244D5"/>
    <w:rsid w:val="00D24D04"/>
    <w:rsid w:val="00D2502C"/>
    <w:rsid w:val="00D25866"/>
    <w:rsid w:val="00D25A61"/>
    <w:rsid w:val="00D25E03"/>
    <w:rsid w:val="00D261FB"/>
    <w:rsid w:val="00D26283"/>
    <w:rsid w:val="00D263B5"/>
    <w:rsid w:val="00D26586"/>
    <w:rsid w:val="00D2664C"/>
    <w:rsid w:val="00D2670D"/>
    <w:rsid w:val="00D26B2E"/>
    <w:rsid w:val="00D26DBE"/>
    <w:rsid w:val="00D27AAD"/>
    <w:rsid w:val="00D27F01"/>
    <w:rsid w:val="00D3023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3CED"/>
    <w:rsid w:val="00D3410B"/>
    <w:rsid w:val="00D344C9"/>
    <w:rsid w:val="00D3517D"/>
    <w:rsid w:val="00D358B2"/>
    <w:rsid w:val="00D359BB"/>
    <w:rsid w:val="00D35AF0"/>
    <w:rsid w:val="00D35FCC"/>
    <w:rsid w:val="00D3609F"/>
    <w:rsid w:val="00D3610A"/>
    <w:rsid w:val="00D366C8"/>
    <w:rsid w:val="00D36885"/>
    <w:rsid w:val="00D368C6"/>
    <w:rsid w:val="00D36C8E"/>
    <w:rsid w:val="00D36D5A"/>
    <w:rsid w:val="00D37A26"/>
    <w:rsid w:val="00D37C2D"/>
    <w:rsid w:val="00D4039F"/>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BEF"/>
    <w:rsid w:val="00D42D5D"/>
    <w:rsid w:val="00D43888"/>
    <w:rsid w:val="00D4429F"/>
    <w:rsid w:val="00D44A5C"/>
    <w:rsid w:val="00D45B68"/>
    <w:rsid w:val="00D45D24"/>
    <w:rsid w:val="00D45F6C"/>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96D"/>
    <w:rsid w:val="00D52A9A"/>
    <w:rsid w:val="00D52E1D"/>
    <w:rsid w:val="00D53387"/>
    <w:rsid w:val="00D53768"/>
    <w:rsid w:val="00D537B0"/>
    <w:rsid w:val="00D54370"/>
    <w:rsid w:val="00D5438E"/>
    <w:rsid w:val="00D5490B"/>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D11"/>
    <w:rsid w:val="00D65404"/>
    <w:rsid w:val="00D6575A"/>
    <w:rsid w:val="00D65837"/>
    <w:rsid w:val="00D65DD6"/>
    <w:rsid w:val="00D66008"/>
    <w:rsid w:val="00D66022"/>
    <w:rsid w:val="00D66065"/>
    <w:rsid w:val="00D66C66"/>
    <w:rsid w:val="00D66DAA"/>
    <w:rsid w:val="00D671EF"/>
    <w:rsid w:val="00D6755D"/>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326"/>
    <w:rsid w:val="00D7643F"/>
    <w:rsid w:val="00D7648B"/>
    <w:rsid w:val="00D769F0"/>
    <w:rsid w:val="00D76E0D"/>
    <w:rsid w:val="00D76E83"/>
    <w:rsid w:val="00D771C9"/>
    <w:rsid w:val="00D778A3"/>
    <w:rsid w:val="00D77A2C"/>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5757"/>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655"/>
    <w:rsid w:val="00DA5CA9"/>
    <w:rsid w:val="00DA5E7E"/>
    <w:rsid w:val="00DA714A"/>
    <w:rsid w:val="00DA71AF"/>
    <w:rsid w:val="00DA727D"/>
    <w:rsid w:val="00DA7A85"/>
    <w:rsid w:val="00DA7BC7"/>
    <w:rsid w:val="00DA7E4C"/>
    <w:rsid w:val="00DA7EC1"/>
    <w:rsid w:val="00DB009D"/>
    <w:rsid w:val="00DB0564"/>
    <w:rsid w:val="00DB0666"/>
    <w:rsid w:val="00DB0D5D"/>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B13"/>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549"/>
    <w:rsid w:val="00DC367D"/>
    <w:rsid w:val="00DC3DE4"/>
    <w:rsid w:val="00DC4D82"/>
    <w:rsid w:val="00DC5015"/>
    <w:rsid w:val="00DC522F"/>
    <w:rsid w:val="00DC588E"/>
    <w:rsid w:val="00DC5E7A"/>
    <w:rsid w:val="00DC6035"/>
    <w:rsid w:val="00DC65D8"/>
    <w:rsid w:val="00DC6870"/>
    <w:rsid w:val="00DC69C6"/>
    <w:rsid w:val="00DC6A94"/>
    <w:rsid w:val="00DC6E29"/>
    <w:rsid w:val="00DC73C7"/>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3C20"/>
    <w:rsid w:val="00DD430B"/>
    <w:rsid w:val="00DD49D3"/>
    <w:rsid w:val="00DD49E9"/>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4C6"/>
    <w:rsid w:val="00DE3E7C"/>
    <w:rsid w:val="00DE464E"/>
    <w:rsid w:val="00DE4664"/>
    <w:rsid w:val="00DE4811"/>
    <w:rsid w:val="00DE4B0C"/>
    <w:rsid w:val="00DE5497"/>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246E"/>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238"/>
    <w:rsid w:val="00DF6281"/>
    <w:rsid w:val="00DF6531"/>
    <w:rsid w:val="00DF662F"/>
    <w:rsid w:val="00DF6824"/>
    <w:rsid w:val="00DF69A9"/>
    <w:rsid w:val="00DF6A7B"/>
    <w:rsid w:val="00DF6A83"/>
    <w:rsid w:val="00DF6AE4"/>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3CB4"/>
    <w:rsid w:val="00E0401E"/>
    <w:rsid w:val="00E04234"/>
    <w:rsid w:val="00E046C1"/>
    <w:rsid w:val="00E049EC"/>
    <w:rsid w:val="00E05A43"/>
    <w:rsid w:val="00E05FC4"/>
    <w:rsid w:val="00E06977"/>
    <w:rsid w:val="00E06AF4"/>
    <w:rsid w:val="00E06F6A"/>
    <w:rsid w:val="00E073C8"/>
    <w:rsid w:val="00E07686"/>
    <w:rsid w:val="00E07939"/>
    <w:rsid w:val="00E07E45"/>
    <w:rsid w:val="00E1007C"/>
    <w:rsid w:val="00E100DC"/>
    <w:rsid w:val="00E101F9"/>
    <w:rsid w:val="00E102BD"/>
    <w:rsid w:val="00E1039D"/>
    <w:rsid w:val="00E103F8"/>
    <w:rsid w:val="00E104ED"/>
    <w:rsid w:val="00E10504"/>
    <w:rsid w:val="00E10631"/>
    <w:rsid w:val="00E10DA9"/>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4B4A"/>
    <w:rsid w:val="00E150B1"/>
    <w:rsid w:val="00E15352"/>
    <w:rsid w:val="00E153A7"/>
    <w:rsid w:val="00E154A1"/>
    <w:rsid w:val="00E15ED2"/>
    <w:rsid w:val="00E164E8"/>
    <w:rsid w:val="00E1654E"/>
    <w:rsid w:val="00E16704"/>
    <w:rsid w:val="00E167D4"/>
    <w:rsid w:val="00E172D5"/>
    <w:rsid w:val="00E175FF"/>
    <w:rsid w:val="00E17C3F"/>
    <w:rsid w:val="00E17CFB"/>
    <w:rsid w:val="00E200EF"/>
    <w:rsid w:val="00E201E3"/>
    <w:rsid w:val="00E20661"/>
    <w:rsid w:val="00E20770"/>
    <w:rsid w:val="00E20855"/>
    <w:rsid w:val="00E20862"/>
    <w:rsid w:val="00E20AD1"/>
    <w:rsid w:val="00E20E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AAC"/>
    <w:rsid w:val="00E3200D"/>
    <w:rsid w:val="00E32E0E"/>
    <w:rsid w:val="00E3305B"/>
    <w:rsid w:val="00E33506"/>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0DA1"/>
    <w:rsid w:val="00E414CB"/>
    <w:rsid w:val="00E41BAC"/>
    <w:rsid w:val="00E42532"/>
    <w:rsid w:val="00E42D71"/>
    <w:rsid w:val="00E430BF"/>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47DF6"/>
    <w:rsid w:val="00E50344"/>
    <w:rsid w:val="00E508D6"/>
    <w:rsid w:val="00E515A3"/>
    <w:rsid w:val="00E51E23"/>
    <w:rsid w:val="00E523F3"/>
    <w:rsid w:val="00E5252C"/>
    <w:rsid w:val="00E52F76"/>
    <w:rsid w:val="00E5315C"/>
    <w:rsid w:val="00E534EA"/>
    <w:rsid w:val="00E538E0"/>
    <w:rsid w:val="00E547DF"/>
    <w:rsid w:val="00E54D33"/>
    <w:rsid w:val="00E564C1"/>
    <w:rsid w:val="00E56898"/>
    <w:rsid w:val="00E56D97"/>
    <w:rsid w:val="00E56E3C"/>
    <w:rsid w:val="00E56F3C"/>
    <w:rsid w:val="00E5711F"/>
    <w:rsid w:val="00E571C0"/>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4DE7"/>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4BD"/>
    <w:rsid w:val="00E74B5A"/>
    <w:rsid w:val="00E7524F"/>
    <w:rsid w:val="00E7556D"/>
    <w:rsid w:val="00E755F4"/>
    <w:rsid w:val="00E75693"/>
    <w:rsid w:val="00E756FB"/>
    <w:rsid w:val="00E75918"/>
    <w:rsid w:val="00E76141"/>
    <w:rsid w:val="00E76270"/>
    <w:rsid w:val="00E76B45"/>
    <w:rsid w:val="00E77040"/>
    <w:rsid w:val="00E772C4"/>
    <w:rsid w:val="00E7748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9CC"/>
    <w:rsid w:val="00E86BF7"/>
    <w:rsid w:val="00E87182"/>
    <w:rsid w:val="00E879F0"/>
    <w:rsid w:val="00E87AE6"/>
    <w:rsid w:val="00E87BC7"/>
    <w:rsid w:val="00E90450"/>
    <w:rsid w:val="00E90BF3"/>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410"/>
    <w:rsid w:val="00E97507"/>
    <w:rsid w:val="00E97512"/>
    <w:rsid w:val="00E97DC5"/>
    <w:rsid w:val="00EA0281"/>
    <w:rsid w:val="00EA09E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2B5"/>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2F4"/>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A06"/>
    <w:rsid w:val="00EC2C50"/>
    <w:rsid w:val="00EC2E21"/>
    <w:rsid w:val="00EC30FE"/>
    <w:rsid w:val="00EC36DD"/>
    <w:rsid w:val="00EC3E31"/>
    <w:rsid w:val="00EC3E81"/>
    <w:rsid w:val="00EC3EC8"/>
    <w:rsid w:val="00EC44E7"/>
    <w:rsid w:val="00EC4D71"/>
    <w:rsid w:val="00EC4D77"/>
    <w:rsid w:val="00EC4D7B"/>
    <w:rsid w:val="00EC4E2E"/>
    <w:rsid w:val="00EC555C"/>
    <w:rsid w:val="00EC5EB2"/>
    <w:rsid w:val="00EC60A1"/>
    <w:rsid w:val="00EC614D"/>
    <w:rsid w:val="00EC6337"/>
    <w:rsid w:val="00EC6D31"/>
    <w:rsid w:val="00EC6D68"/>
    <w:rsid w:val="00EC6D82"/>
    <w:rsid w:val="00EC6FB4"/>
    <w:rsid w:val="00EC7183"/>
    <w:rsid w:val="00EC71AB"/>
    <w:rsid w:val="00EC7D46"/>
    <w:rsid w:val="00EC7EE8"/>
    <w:rsid w:val="00ED0DE8"/>
    <w:rsid w:val="00ED0EB9"/>
    <w:rsid w:val="00ED1A21"/>
    <w:rsid w:val="00ED1A39"/>
    <w:rsid w:val="00ED1CD6"/>
    <w:rsid w:val="00ED2238"/>
    <w:rsid w:val="00ED2FF1"/>
    <w:rsid w:val="00ED30A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0E"/>
    <w:rsid w:val="00EE18BB"/>
    <w:rsid w:val="00EE1938"/>
    <w:rsid w:val="00EE1CDA"/>
    <w:rsid w:val="00EE20B3"/>
    <w:rsid w:val="00EE24B7"/>
    <w:rsid w:val="00EE286B"/>
    <w:rsid w:val="00EE2AAB"/>
    <w:rsid w:val="00EE3196"/>
    <w:rsid w:val="00EE3203"/>
    <w:rsid w:val="00EE3318"/>
    <w:rsid w:val="00EE33A6"/>
    <w:rsid w:val="00EE3608"/>
    <w:rsid w:val="00EE3DCB"/>
    <w:rsid w:val="00EE4825"/>
    <w:rsid w:val="00EE5112"/>
    <w:rsid w:val="00EE58F6"/>
    <w:rsid w:val="00EE62B4"/>
    <w:rsid w:val="00EE636D"/>
    <w:rsid w:val="00EE6678"/>
    <w:rsid w:val="00EE66B1"/>
    <w:rsid w:val="00EE687C"/>
    <w:rsid w:val="00EE751B"/>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5DD"/>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3DB"/>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4EA5"/>
    <w:rsid w:val="00F05EED"/>
    <w:rsid w:val="00F068D2"/>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0E"/>
    <w:rsid w:val="00F171EF"/>
    <w:rsid w:val="00F17A8F"/>
    <w:rsid w:val="00F17D56"/>
    <w:rsid w:val="00F20046"/>
    <w:rsid w:val="00F20242"/>
    <w:rsid w:val="00F20310"/>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D96"/>
    <w:rsid w:val="00F24F4D"/>
    <w:rsid w:val="00F24FA0"/>
    <w:rsid w:val="00F25088"/>
    <w:rsid w:val="00F25157"/>
    <w:rsid w:val="00F2538E"/>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0D5F"/>
    <w:rsid w:val="00F318E7"/>
    <w:rsid w:val="00F31F17"/>
    <w:rsid w:val="00F3236F"/>
    <w:rsid w:val="00F32374"/>
    <w:rsid w:val="00F32DD1"/>
    <w:rsid w:val="00F32F0E"/>
    <w:rsid w:val="00F32F3E"/>
    <w:rsid w:val="00F3333E"/>
    <w:rsid w:val="00F3383E"/>
    <w:rsid w:val="00F34286"/>
    <w:rsid w:val="00F342E5"/>
    <w:rsid w:val="00F346BC"/>
    <w:rsid w:val="00F34F52"/>
    <w:rsid w:val="00F351DE"/>
    <w:rsid w:val="00F3521B"/>
    <w:rsid w:val="00F35540"/>
    <w:rsid w:val="00F35561"/>
    <w:rsid w:val="00F35865"/>
    <w:rsid w:val="00F35E92"/>
    <w:rsid w:val="00F360BA"/>
    <w:rsid w:val="00F366CE"/>
    <w:rsid w:val="00F369FF"/>
    <w:rsid w:val="00F377A2"/>
    <w:rsid w:val="00F37922"/>
    <w:rsid w:val="00F37AEF"/>
    <w:rsid w:val="00F37DC6"/>
    <w:rsid w:val="00F37E70"/>
    <w:rsid w:val="00F40C88"/>
    <w:rsid w:val="00F41576"/>
    <w:rsid w:val="00F41D1F"/>
    <w:rsid w:val="00F426B0"/>
    <w:rsid w:val="00F42910"/>
    <w:rsid w:val="00F42C2B"/>
    <w:rsid w:val="00F44833"/>
    <w:rsid w:val="00F45B82"/>
    <w:rsid w:val="00F465F2"/>
    <w:rsid w:val="00F46694"/>
    <w:rsid w:val="00F467B0"/>
    <w:rsid w:val="00F4683A"/>
    <w:rsid w:val="00F46E40"/>
    <w:rsid w:val="00F46F8B"/>
    <w:rsid w:val="00F47132"/>
    <w:rsid w:val="00F47728"/>
    <w:rsid w:val="00F47AF4"/>
    <w:rsid w:val="00F47AFE"/>
    <w:rsid w:val="00F47CBA"/>
    <w:rsid w:val="00F47CF5"/>
    <w:rsid w:val="00F50020"/>
    <w:rsid w:val="00F50055"/>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192"/>
    <w:rsid w:val="00F542D8"/>
    <w:rsid w:val="00F54460"/>
    <w:rsid w:val="00F548C8"/>
    <w:rsid w:val="00F54B39"/>
    <w:rsid w:val="00F550B5"/>
    <w:rsid w:val="00F553D1"/>
    <w:rsid w:val="00F55410"/>
    <w:rsid w:val="00F55589"/>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5F6B"/>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24C"/>
    <w:rsid w:val="00F74664"/>
    <w:rsid w:val="00F74791"/>
    <w:rsid w:val="00F747FD"/>
    <w:rsid w:val="00F74A7A"/>
    <w:rsid w:val="00F75057"/>
    <w:rsid w:val="00F75C0B"/>
    <w:rsid w:val="00F763DF"/>
    <w:rsid w:val="00F77028"/>
    <w:rsid w:val="00F7792A"/>
    <w:rsid w:val="00F77A6F"/>
    <w:rsid w:val="00F77C47"/>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4AD"/>
    <w:rsid w:val="00F86B20"/>
    <w:rsid w:val="00F86BCE"/>
    <w:rsid w:val="00F86C43"/>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4E3F"/>
    <w:rsid w:val="00F95013"/>
    <w:rsid w:val="00F951BD"/>
    <w:rsid w:val="00F95243"/>
    <w:rsid w:val="00F9590D"/>
    <w:rsid w:val="00F9632D"/>
    <w:rsid w:val="00F9644F"/>
    <w:rsid w:val="00F96479"/>
    <w:rsid w:val="00F965D9"/>
    <w:rsid w:val="00F96A1F"/>
    <w:rsid w:val="00F96C7A"/>
    <w:rsid w:val="00F96E7C"/>
    <w:rsid w:val="00F96FAF"/>
    <w:rsid w:val="00F975B5"/>
    <w:rsid w:val="00F97666"/>
    <w:rsid w:val="00F97F06"/>
    <w:rsid w:val="00FA0509"/>
    <w:rsid w:val="00FA0E7C"/>
    <w:rsid w:val="00FA17D6"/>
    <w:rsid w:val="00FA1B1E"/>
    <w:rsid w:val="00FA1CBF"/>
    <w:rsid w:val="00FA1D8F"/>
    <w:rsid w:val="00FA1EB0"/>
    <w:rsid w:val="00FA2002"/>
    <w:rsid w:val="00FA2526"/>
    <w:rsid w:val="00FA2663"/>
    <w:rsid w:val="00FA27B9"/>
    <w:rsid w:val="00FA2AB0"/>
    <w:rsid w:val="00FA2EB9"/>
    <w:rsid w:val="00FA33A2"/>
    <w:rsid w:val="00FA3871"/>
    <w:rsid w:val="00FA3C84"/>
    <w:rsid w:val="00FA4131"/>
    <w:rsid w:val="00FA48E0"/>
    <w:rsid w:val="00FA4EDE"/>
    <w:rsid w:val="00FA50E8"/>
    <w:rsid w:val="00FA526F"/>
    <w:rsid w:val="00FA53C1"/>
    <w:rsid w:val="00FA5527"/>
    <w:rsid w:val="00FA558C"/>
    <w:rsid w:val="00FA5710"/>
    <w:rsid w:val="00FA5871"/>
    <w:rsid w:val="00FA589E"/>
    <w:rsid w:val="00FA5909"/>
    <w:rsid w:val="00FA5A96"/>
    <w:rsid w:val="00FA5DCB"/>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92D"/>
    <w:rsid w:val="00FB2A80"/>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5778"/>
    <w:rsid w:val="00FC65A0"/>
    <w:rsid w:val="00FC6B41"/>
    <w:rsid w:val="00FC6C9B"/>
    <w:rsid w:val="00FC6D8C"/>
    <w:rsid w:val="00FC6DA4"/>
    <w:rsid w:val="00FC791E"/>
    <w:rsid w:val="00FC7F93"/>
    <w:rsid w:val="00FD10D2"/>
    <w:rsid w:val="00FD235B"/>
    <w:rsid w:val="00FD2804"/>
    <w:rsid w:val="00FD282A"/>
    <w:rsid w:val="00FD2A71"/>
    <w:rsid w:val="00FD3124"/>
    <w:rsid w:val="00FD3905"/>
    <w:rsid w:val="00FD49E9"/>
    <w:rsid w:val="00FD4CC0"/>
    <w:rsid w:val="00FD5999"/>
    <w:rsid w:val="00FD6318"/>
    <w:rsid w:val="00FD6A3D"/>
    <w:rsid w:val="00FD6D13"/>
    <w:rsid w:val="00FD6F9D"/>
    <w:rsid w:val="00FD72D9"/>
    <w:rsid w:val="00FD73AE"/>
    <w:rsid w:val="00FD7D6B"/>
    <w:rsid w:val="00FE00DC"/>
    <w:rsid w:val="00FE0477"/>
    <w:rsid w:val="00FE0657"/>
    <w:rsid w:val="00FE0E08"/>
    <w:rsid w:val="00FE15F5"/>
    <w:rsid w:val="00FE1728"/>
    <w:rsid w:val="00FE1E88"/>
    <w:rsid w:val="00FE1EC0"/>
    <w:rsid w:val="00FE22FE"/>
    <w:rsid w:val="00FE2A5B"/>
    <w:rsid w:val="00FE2B7B"/>
    <w:rsid w:val="00FE3100"/>
    <w:rsid w:val="00FE3768"/>
    <w:rsid w:val="00FE3D47"/>
    <w:rsid w:val="00FE42C4"/>
    <w:rsid w:val="00FE47B0"/>
    <w:rsid w:val="00FE5172"/>
    <w:rsid w:val="00FE5236"/>
    <w:rsid w:val="00FE53E8"/>
    <w:rsid w:val="00FE5977"/>
    <w:rsid w:val="00FE5B02"/>
    <w:rsid w:val="00FE5C99"/>
    <w:rsid w:val="00FE5CB2"/>
    <w:rsid w:val="00FE650C"/>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B7"/>
    <w:rsid w:val="00FF2A88"/>
    <w:rsid w:val="00FF303D"/>
    <w:rsid w:val="00FF37C5"/>
    <w:rsid w:val="00FF3A12"/>
    <w:rsid w:val="00FF3C0B"/>
    <w:rsid w:val="00FF3CFC"/>
    <w:rsid w:val="00FF40CB"/>
    <w:rsid w:val="00FF43AF"/>
    <w:rsid w:val="00FF48E0"/>
    <w:rsid w:val="00FF5026"/>
    <w:rsid w:val="00FF5173"/>
    <w:rsid w:val="00FF51D0"/>
    <w:rsid w:val="00FF52CC"/>
    <w:rsid w:val="00FF52E3"/>
    <w:rsid w:val="00FF56EB"/>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105EFB"/>
    <w:pPr>
      <w:overflowPunct/>
      <w:autoSpaceDE/>
      <w:autoSpaceDN/>
      <w:adjustRightInd/>
      <w:spacing w:after="120"/>
      <w:textAlignment w:val="auto"/>
    </w:pPr>
    <w:rPr>
      <w:rFonts w:eastAsia="Calibri"/>
      <w:szCs w:val="22"/>
      <w:lang w:val="en-GB"/>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ReferenceChar">
    <w:name w:val="Reference Char"/>
    <w:link w:val="Reference"/>
    <w:rsid w:val="007429CA"/>
    <w:rPr>
      <w:rFonts w:ascii="Times New Roman" w:hAnsi="Times New Roman"/>
      <w:lang w:eastAsia="ar-SA"/>
    </w:rPr>
  </w:style>
  <w:style w:type="paragraph" w:styleId="TableofFigures">
    <w:name w:val="table of figures"/>
    <w:basedOn w:val="Normal"/>
    <w:next w:val="Normal"/>
    <w:uiPriority w:val="99"/>
    <w:unhideWhenUsed/>
    <w:rsid w:val="003B4AAF"/>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673478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296053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139036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188954">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72625557">
      <w:bodyDiv w:val="1"/>
      <w:marLeft w:val="0"/>
      <w:marRight w:val="0"/>
      <w:marTop w:val="0"/>
      <w:marBottom w:val="0"/>
      <w:divBdr>
        <w:top w:val="none" w:sz="0" w:space="0" w:color="auto"/>
        <w:left w:val="none" w:sz="0" w:space="0" w:color="auto"/>
        <w:bottom w:val="none" w:sz="0" w:space="0" w:color="auto"/>
        <w:right w:val="none" w:sz="0" w:space="0" w:color="auto"/>
      </w:divBdr>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6932265">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HR33RHYHUWRF-4-6314</_dlc_DocId>
    <_dlc_DocIdUrl xmlns="c06861ca-3f08-4d07-bff7-bb15bac121f4">
      <Url>https://projects.qualcomm.com/sites/pentari/_layouts/15/DocIdRedir.aspx?ID=HR33RHYHUWRF-4-6314</Url>
      <Description>HR33RHYHUWRF-4-6314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B4C70E3-A052-4A63-90C5-5CD2D8C7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2645</TotalTime>
  <Pages>13</Pages>
  <Words>5869</Words>
  <Characters>33459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39250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Qualcomm</cp:lastModifiedBy>
  <cp:revision>132</cp:revision>
  <cp:lastPrinted>2018-01-13T04:27:00Z</cp:lastPrinted>
  <dcterms:created xsi:type="dcterms:W3CDTF">2017-11-18T06:15:00Z</dcterms:created>
  <dcterms:modified xsi:type="dcterms:W3CDTF">2018-01-13T04:45:00Z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dd3c5058-9cf9-4fc7-b575-6b526cacdd44</vt:lpwstr>
  </property>
</Properties>
</file>